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4DD9" w14:textId="77777777" w:rsidR="004A0858" w:rsidRDefault="004A0858">
      <w:pPr>
        <w:pStyle w:val="BodyText"/>
        <w:spacing w:before="2"/>
        <w:rPr>
          <w:sz w:val="7"/>
        </w:rPr>
      </w:pPr>
    </w:p>
    <w:p w14:paraId="6DB77437" w14:textId="77777777" w:rsidR="004A0858" w:rsidRDefault="00AB6BC4">
      <w:pPr>
        <w:pStyle w:val="BodyText"/>
        <w:ind w:left="3114"/>
        <w:rPr>
          <w:sz w:val="20"/>
        </w:rPr>
      </w:pPr>
      <w:r>
        <w:rPr>
          <w:noProof/>
          <w:sz w:val="20"/>
        </w:rPr>
        <w:drawing>
          <wp:inline distT="0" distB="0" distL="0" distR="0" wp14:anchorId="7421C888" wp14:editId="4F16FDEB">
            <wp:extent cx="2153012" cy="385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53012" cy="385000"/>
                    </a:xfrm>
                    <a:prstGeom prst="rect">
                      <a:avLst/>
                    </a:prstGeom>
                  </pic:spPr>
                </pic:pic>
              </a:graphicData>
            </a:graphic>
          </wp:inline>
        </w:drawing>
      </w:r>
    </w:p>
    <w:p w14:paraId="729A8F15" w14:textId="77777777" w:rsidR="004A0858" w:rsidRDefault="004A0858">
      <w:pPr>
        <w:pStyle w:val="BodyText"/>
        <w:spacing w:before="43"/>
      </w:pPr>
    </w:p>
    <w:p w14:paraId="2E700799" w14:textId="701207C1" w:rsidR="004A0858" w:rsidRDefault="00A1583A" w:rsidP="0030721B">
      <w:pPr>
        <w:pStyle w:val="BodyText"/>
        <w:spacing w:before="1"/>
      </w:pPr>
      <w:r w:rsidRPr="00233389">
        <w:t>June</w:t>
      </w:r>
      <w:r w:rsidR="007F0804" w:rsidRPr="00233389">
        <w:t xml:space="preserve"> </w:t>
      </w:r>
      <w:r w:rsidRPr="00233389">
        <w:t>22</w:t>
      </w:r>
      <w:r w:rsidR="00326A12" w:rsidRPr="00233389">
        <w:t>, 202</w:t>
      </w:r>
      <w:r w:rsidRPr="00233389">
        <w:t>6</w:t>
      </w:r>
    </w:p>
    <w:p w14:paraId="1AE052E0" w14:textId="77777777" w:rsidR="004A0858" w:rsidRDefault="004A0858">
      <w:pPr>
        <w:pStyle w:val="BodyText"/>
      </w:pPr>
    </w:p>
    <w:p w14:paraId="2AD80A22" w14:textId="77777777" w:rsidR="004A0858" w:rsidRDefault="00AB6BC4" w:rsidP="006035D1">
      <w:pPr>
        <w:pStyle w:val="BodyText"/>
        <w:spacing w:line="252" w:lineRule="exact"/>
      </w:pPr>
      <w:r>
        <w:t>Mr.</w:t>
      </w:r>
      <w:r>
        <w:rPr>
          <w:spacing w:val="-5"/>
        </w:rPr>
        <w:t xml:space="preserve"> </w:t>
      </w:r>
      <w:r>
        <w:t>Ben</w:t>
      </w:r>
      <w:r>
        <w:rPr>
          <w:spacing w:val="-4"/>
        </w:rPr>
        <w:t xml:space="preserve"> </w:t>
      </w:r>
      <w:r>
        <w:t>Slutsker,</w:t>
      </w:r>
      <w:r>
        <w:rPr>
          <w:spacing w:val="-2"/>
        </w:rPr>
        <w:t xml:space="preserve"> </w:t>
      </w:r>
      <w:r>
        <w:rPr>
          <w:spacing w:val="-4"/>
        </w:rPr>
        <w:t>Chair</w:t>
      </w:r>
    </w:p>
    <w:p w14:paraId="3D097B04" w14:textId="77777777" w:rsidR="004A0858" w:rsidRDefault="00AB6BC4" w:rsidP="006035D1">
      <w:pPr>
        <w:pStyle w:val="BodyText"/>
        <w:ind w:right="2034"/>
      </w:pPr>
      <w:r>
        <w:t>Valuation</w:t>
      </w:r>
      <w:r>
        <w:rPr>
          <w:spacing w:val="-6"/>
        </w:rPr>
        <w:t xml:space="preserve"> </w:t>
      </w:r>
      <w:r>
        <w:t>Manual</w:t>
      </w:r>
      <w:r>
        <w:rPr>
          <w:spacing w:val="-2"/>
        </w:rPr>
        <w:t xml:space="preserve"> </w:t>
      </w:r>
      <w:r>
        <w:t>(VM)-22</w:t>
      </w:r>
      <w:r>
        <w:rPr>
          <w:spacing w:val="-6"/>
        </w:rPr>
        <w:t xml:space="preserve"> </w:t>
      </w:r>
      <w:r>
        <w:t>(A)</w:t>
      </w:r>
      <w:r>
        <w:rPr>
          <w:spacing w:val="-2"/>
        </w:rPr>
        <w:t xml:space="preserve"> </w:t>
      </w:r>
      <w:r>
        <w:t>Subgroup,</w:t>
      </w:r>
      <w:r>
        <w:rPr>
          <w:spacing w:val="-6"/>
        </w:rPr>
        <w:t xml:space="preserve"> </w:t>
      </w:r>
      <w:r>
        <w:t>Life</w:t>
      </w:r>
      <w:r>
        <w:rPr>
          <w:spacing w:val="-3"/>
        </w:rPr>
        <w:t xml:space="preserve"> </w:t>
      </w:r>
      <w:r>
        <w:t>Actuarial</w:t>
      </w:r>
      <w:r>
        <w:rPr>
          <w:spacing w:val="-5"/>
        </w:rPr>
        <w:t xml:space="preserve"> </w:t>
      </w:r>
      <w:r>
        <w:t>(A)</w:t>
      </w:r>
      <w:r>
        <w:rPr>
          <w:spacing w:val="-2"/>
        </w:rPr>
        <w:t xml:space="preserve"> </w:t>
      </w:r>
      <w:r>
        <w:t>Task</w:t>
      </w:r>
      <w:r>
        <w:rPr>
          <w:spacing w:val="-3"/>
        </w:rPr>
        <w:t xml:space="preserve"> </w:t>
      </w:r>
      <w:r>
        <w:t>Force</w:t>
      </w:r>
      <w:r>
        <w:rPr>
          <w:spacing w:val="-5"/>
        </w:rPr>
        <w:t xml:space="preserve"> </w:t>
      </w:r>
      <w:r>
        <w:t>(LATF) National Association of Insurance Commissioners (NAIC)</w:t>
      </w:r>
    </w:p>
    <w:p w14:paraId="0AA2327F" w14:textId="40DFBCBB" w:rsidR="00AE3EA0" w:rsidRDefault="00AB6BC4" w:rsidP="006035D1">
      <w:pPr>
        <w:pStyle w:val="BodyText"/>
        <w:spacing w:before="252"/>
        <w:ind w:right="144"/>
      </w:pPr>
      <w:r w:rsidRPr="00AE3EA0">
        <w:t>Re:</w:t>
      </w:r>
      <w:r w:rsidRPr="00AE3EA0">
        <w:rPr>
          <w:spacing w:val="-3"/>
        </w:rPr>
        <w:t xml:space="preserve"> </w:t>
      </w:r>
      <w:hyperlink r:id="rId9" w:history="1">
        <w:r w:rsidR="00A1583A" w:rsidRPr="00A10712">
          <w:rPr>
            <w:rStyle w:val="Hyperlink"/>
            <w:spacing w:val="-3"/>
          </w:rPr>
          <w:t>VM-22 Retrospective Application Exposure</w:t>
        </w:r>
      </w:hyperlink>
      <w:r w:rsidR="00A1583A">
        <w:rPr>
          <w:spacing w:val="-3"/>
        </w:rPr>
        <w:t xml:space="preserve"> </w:t>
      </w:r>
    </w:p>
    <w:p w14:paraId="74845BCB" w14:textId="58010D6B" w:rsidR="00DA4620" w:rsidRPr="00DA4620" w:rsidRDefault="00DA4620" w:rsidP="00DA4620">
      <w:pPr>
        <w:pStyle w:val="BodyText"/>
        <w:spacing w:before="252"/>
        <w:ind w:right="144"/>
      </w:pPr>
      <w:r w:rsidRPr="00DA4620">
        <w:t>Dear Chair Slutsker</w:t>
      </w:r>
      <w:r w:rsidR="00E44D56">
        <w:t>:</w:t>
      </w:r>
      <w:r w:rsidRPr="00DA4620">
        <w:t xml:space="preserve"> </w:t>
      </w:r>
    </w:p>
    <w:p w14:paraId="044F89E4" w14:textId="0DB5DD2E" w:rsidR="00DA4620" w:rsidRDefault="00DA4620" w:rsidP="00DA4620">
      <w:pPr>
        <w:pStyle w:val="BodyText"/>
        <w:spacing w:before="252"/>
        <w:ind w:right="144"/>
      </w:pPr>
      <w:r w:rsidRPr="00DA4620">
        <w:t>On behalf of the Annuity Reserves and Capital Subcommittee (ARCS) of the American Academy of Actuaries,</w:t>
      </w:r>
      <w:r w:rsidRPr="00F155B3">
        <w:rPr>
          <w:sz w:val="18"/>
          <w:szCs w:val="18"/>
          <w:vertAlign w:val="superscript"/>
        </w:rPr>
        <w:footnoteReference w:id="1"/>
      </w:r>
      <w:r w:rsidRPr="00DA4620">
        <w:t xml:space="preserve"> </w:t>
      </w:r>
      <w:r w:rsidR="00A10712">
        <w:t>we</w:t>
      </w:r>
      <w:r w:rsidR="00A10712" w:rsidRPr="00DA4620">
        <w:t xml:space="preserve"> </w:t>
      </w:r>
      <w:r w:rsidRPr="00DA4620">
        <w:t xml:space="preserve">appreciate the opportunity to comment on the </w:t>
      </w:r>
      <w:r w:rsidR="00A1583A">
        <w:rPr>
          <w:spacing w:val="-3"/>
        </w:rPr>
        <w:t>VM-22 Retrospective Application Exposure</w:t>
      </w:r>
      <w:r w:rsidR="7EAFD2F3">
        <w:t>,</w:t>
      </w:r>
      <w:r w:rsidR="00A1583A">
        <w:rPr>
          <w:spacing w:val="-3"/>
        </w:rPr>
        <w:t xml:space="preserve"> </w:t>
      </w:r>
      <w:r w:rsidR="00B751CD">
        <w:t xml:space="preserve">which </w:t>
      </w:r>
      <w:r w:rsidR="00A1583A">
        <w:t>puts forth several questions regarding the potential retrospective application of VM-22.</w:t>
      </w:r>
    </w:p>
    <w:p w14:paraId="21C66287" w14:textId="77777777" w:rsidR="00A1583A" w:rsidRPr="00A1583A" w:rsidRDefault="00A1583A" w:rsidP="00A1583A">
      <w:pPr>
        <w:pStyle w:val="BodyText"/>
        <w:numPr>
          <w:ilvl w:val="0"/>
          <w:numId w:val="13"/>
        </w:numPr>
        <w:spacing w:before="252"/>
        <w:ind w:right="144"/>
        <w:rPr>
          <w:b/>
          <w:bCs/>
          <w:u w:val="single"/>
        </w:rPr>
      </w:pPr>
      <w:r w:rsidRPr="00A1583A">
        <w:rPr>
          <w:b/>
          <w:bCs/>
          <w:u w:val="single"/>
        </w:rPr>
        <w:t xml:space="preserve">What are types of potential evaluation criteria for explaining the reserve impact and drivers, and how frequently should these be provided? </w:t>
      </w:r>
    </w:p>
    <w:p w14:paraId="52BE94E2" w14:textId="77777777" w:rsidR="00A1583A" w:rsidRPr="00A1583A" w:rsidRDefault="00A1583A" w:rsidP="00A1583A">
      <w:pPr>
        <w:pStyle w:val="BodyText"/>
        <w:spacing w:before="252"/>
        <w:ind w:right="144"/>
      </w:pPr>
      <w:r w:rsidRPr="00A1583A">
        <w:t>For retrospective adoption, companies should clearly demonstrate the impact of transitioning a block from pre-PBR CARVM to VM-22. The objective is to provide transparency into both the magnitude of reserve changes and the key drivers, while allowing reasonable flexibility in approach.</w:t>
      </w:r>
    </w:p>
    <w:p w14:paraId="746272A6" w14:textId="77777777" w:rsidR="00A1583A" w:rsidRPr="00A1583A" w:rsidRDefault="00A1583A" w:rsidP="00A1583A">
      <w:pPr>
        <w:pStyle w:val="BodyText"/>
        <w:spacing w:before="252"/>
        <w:ind w:right="144"/>
        <w:rPr>
          <w:u w:val="single"/>
        </w:rPr>
      </w:pPr>
      <w:r w:rsidRPr="00A1583A">
        <w:rPr>
          <w:u w:val="single"/>
        </w:rPr>
        <w:t>Evaluation Criteria</w:t>
      </w:r>
    </w:p>
    <w:p w14:paraId="7FD52E41" w14:textId="77777777" w:rsidR="00A1583A" w:rsidRPr="00A1583A" w:rsidRDefault="00A1583A" w:rsidP="00A1583A">
      <w:pPr>
        <w:pStyle w:val="BodyText"/>
        <w:spacing w:before="252"/>
        <w:ind w:right="144"/>
      </w:pPr>
      <w:r w:rsidRPr="00A1583A">
        <w:t>The following criteria are appropriate:</w:t>
      </w:r>
    </w:p>
    <w:p w14:paraId="305C7FCE" w14:textId="1D06BACE" w:rsidR="00A1583A" w:rsidRPr="00A1583A" w:rsidRDefault="00A1583A" w:rsidP="00A1583A">
      <w:pPr>
        <w:pStyle w:val="BodyText"/>
        <w:numPr>
          <w:ilvl w:val="0"/>
          <w:numId w:val="14"/>
        </w:numPr>
        <w:spacing w:before="252"/>
        <w:ind w:right="144"/>
      </w:pPr>
      <w:r w:rsidRPr="00A1583A">
        <w:rPr>
          <w:b/>
          <w:bCs/>
        </w:rPr>
        <w:t>Reserve comparison</w:t>
      </w:r>
      <w:r w:rsidRPr="00A1583A">
        <w:t xml:space="preserve">: Comparison of pre-adoption and post-adoption (VM-22) reserves, including results both before and after aggregation with existing VM-22 business. Where applicable, results should also be presented gross and net of reinsurance. </w:t>
      </w:r>
    </w:p>
    <w:p w14:paraId="679FD5FA" w14:textId="26391FBE" w:rsidR="00A1583A" w:rsidRPr="00A1583A" w:rsidRDefault="00A1583A" w:rsidP="00A1583A">
      <w:pPr>
        <w:pStyle w:val="BodyText"/>
        <w:numPr>
          <w:ilvl w:val="0"/>
          <w:numId w:val="14"/>
        </w:numPr>
        <w:spacing w:before="252"/>
        <w:ind w:right="144"/>
      </w:pPr>
      <w:r w:rsidRPr="00A1583A">
        <w:rPr>
          <w:b/>
          <w:bCs/>
        </w:rPr>
        <w:t>Attribution analysis</w:t>
      </w:r>
      <w:r w:rsidRPr="00A1583A">
        <w:t>:</w:t>
      </w:r>
      <w:r w:rsidRPr="00A1583A">
        <w:rPr>
          <w:b/>
          <w:bCs/>
        </w:rPr>
        <w:t xml:space="preserve"> </w:t>
      </w:r>
      <w:r w:rsidRPr="00A1583A">
        <w:t xml:space="preserve">A clear and structured reconciliation from </w:t>
      </w:r>
      <w:r w:rsidR="00E13093">
        <w:t>pre-adoption</w:t>
      </w:r>
      <w:r w:rsidR="00E13093" w:rsidRPr="00A1583A">
        <w:t xml:space="preserve"> </w:t>
      </w:r>
      <w:r w:rsidRPr="00A1583A">
        <w:t>to VM-22 reserves that identifies and explains the key drivers of change, including</w:t>
      </w:r>
      <w:r w:rsidR="00AC0CE0">
        <w:t xml:space="preserve"> but not limited to</w:t>
      </w:r>
      <w:r w:rsidRPr="00A1583A">
        <w:t>:</w:t>
      </w:r>
    </w:p>
    <w:p w14:paraId="79E0D758" w14:textId="3A960E74" w:rsidR="00A1583A" w:rsidRDefault="00A1583A" w:rsidP="00A1583A">
      <w:pPr>
        <w:pStyle w:val="BodyText"/>
        <w:numPr>
          <w:ilvl w:val="1"/>
          <w:numId w:val="14"/>
        </w:numPr>
        <w:ind w:right="144"/>
      </w:pPr>
      <w:r w:rsidRPr="00A1583A">
        <w:t>Methodology differences</w:t>
      </w:r>
      <w:r w:rsidR="005641A6">
        <w:t>;</w:t>
      </w:r>
      <w:r w:rsidRPr="00A1583A">
        <w:t xml:space="preserve"> </w:t>
      </w:r>
    </w:p>
    <w:p w14:paraId="70BA87F3" w14:textId="354E514A" w:rsidR="00B13732" w:rsidRPr="00A1583A" w:rsidRDefault="00B13732" w:rsidP="00A1583A">
      <w:pPr>
        <w:pStyle w:val="BodyText"/>
        <w:numPr>
          <w:ilvl w:val="1"/>
          <w:numId w:val="14"/>
        </w:numPr>
        <w:ind w:right="144"/>
      </w:pPr>
      <w:r>
        <w:t>Discount rate impacts</w:t>
      </w:r>
      <w:r w:rsidR="005641A6">
        <w:t>;</w:t>
      </w:r>
    </w:p>
    <w:p w14:paraId="41B25104" w14:textId="24258895" w:rsidR="00A1583A" w:rsidRPr="00A1583A" w:rsidRDefault="00A1583A" w:rsidP="00A1583A">
      <w:pPr>
        <w:pStyle w:val="BodyText"/>
        <w:numPr>
          <w:ilvl w:val="1"/>
          <w:numId w:val="14"/>
        </w:numPr>
        <w:ind w:right="144"/>
      </w:pPr>
      <w:r w:rsidRPr="00A1583A">
        <w:t>Asset and reinvestment assumptions</w:t>
      </w:r>
      <w:r w:rsidR="005641A6">
        <w:t>;</w:t>
      </w:r>
      <w:r w:rsidRPr="00A1583A">
        <w:t xml:space="preserve"> </w:t>
      </w:r>
    </w:p>
    <w:p w14:paraId="70DADEA4" w14:textId="0D0141B2" w:rsidR="00A1583A" w:rsidRPr="00A1583A" w:rsidRDefault="00A1583A" w:rsidP="00A1583A">
      <w:pPr>
        <w:pStyle w:val="BodyText"/>
        <w:numPr>
          <w:ilvl w:val="1"/>
          <w:numId w:val="14"/>
        </w:numPr>
        <w:ind w:right="144"/>
      </w:pPr>
      <w:r w:rsidRPr="00A1583A">
        <w:t>Policyholder behavior</w:t>
      </w:r>
      <w:r w:rsidR="005641A6">
        <w:t>;</w:t>
      </w:r>
      <w:r w:rsidRPr="00A1583A">
        <w:t xml:space="preserve"> </w:t>
      </w:r>
    </w:p>
    <w:p w14:paraId="179C31C4" w14:textId="56F2C588" w:rsidR="00A1583A" w:rsidRPr="00A1583A" w:rsidRDefault="00A1583A" w:rsidP="00A1583A">
      <w:pPr>
        <w:pStyle w:val="BodyText"/>
        <w:numPr>
          <w:ilvl w:val="1"/>
          <w:numId w:val="14"/>
        </w:numPr>
        <w:ind w:right="144"/>
      </w:pPr>
      <w:r w:rsidRPr="00A1583A">
        <w:t>Aggregation impacts</w:t>
      </w:r>
      <w:r w:rsidR="005641A6">
        <w:t>.</w:t>
      </w:r>
      <w:r w:rsidRPr="00A1583A">
        <w:t xml:space="preserve"> </w:t>
      </w:r>
    </w:p>
    <w:p w14:paraId="5E2DED2A" w14:textId="533DA71F" w:rsidR="00A1583A" w:rsidRPr="00A1583A" w:rsidRDefault="00A1583A" w:rsidP="00A1583A">
      <w:pPr>
        <w:pStyle w:val="BodyText"/>
        <w:spacing w:before="252"/>
        <w:ind w:right="144"/>
      </w:pPr>
      <w:r w:rsidRPr="00A1583A">
        <w:t xml:space="preserve">Companies should have flexibility in approach, though some consistency may aid regulatory review. </w:t>
      </w:r>
      <w:r w:rsidR="0089530F">
        <w:t>Results should be reasonably granular to identify the material drivers of the difference in reserves</w:t>
      </w:r>
      <w:r w:rsidR="00A7370B">
        <w:t>,</w:t>
      </w:r>
      <w:r w:rsidR="0089530F">
        <w:t xml:space="preserve"> yet not so granular that significant work with little value is performed.</w:t>
      </w:r>
    </w:p>
    <w:p w14:paraId="22F0509B" w14:textId="3638D581" w:rsidR="00A1583A" w:rsidRPr="00EE1190" w:rsidRDefault="00A1583A" w:rsidP="00A1583A">
      <w:pPr>
        <w:pStyle w:val="BodyText"/>
        <w:numPr>
          <w:ilvl w:val="0"/>
          <w:numId w:val="15"/>
        </w:numPr>
        <w:spacing w:before="252"/>
        <w:ind w:right="144"/>
      </w:pPr>
      <w:r w:rsidRPr="00A1583A">
        <w:rPr>
          <w:b/>
          <w:bCs/>
        </w:rPr>
        <w:t>Key risk and economic metrics</w:t>
      </w:r>
      <w:r w:rsidRPr="00A1583A">
        <w:t>: Companies may be expected to provide metrics that give context on the underlying risk profile and help assess the drivers of reserve differences</w:t>
      </w:r>
      <w:r w:rsidR="00B13732">
        <w:t xml:space="preserve">. </w:t>
      </w:r>
      <w:r w:rsidR="00B13732" w:rsidRPr="00F155B3">
        <w:t>These metrics would generally be consistent with information already produced for VM</w:t>
      </w:r>
      <w:r w:rsidR="00B13732" w:rsidRPr="00F155B3">
        <w:noBreakHyphen/>
        <w:t>31 documentation, rather than representing new reporting requirements. Examples include, but are not limited to:</w:t>
      </w:r>
      <w:r w:rsidRPr="00EE1190">
        <w:t xml:space="preserve"> </w:t>
      </w:r>
    </w:p>
    <w:p w14:paraId="59E4EE7F" w14:textId="6AC495D6" w:rsidR="00A1583A" w:rsidRPr="00A1583A" w:rsidRDefault="00A1583A" w:rsidP="00A1583A">
      <w:pPr>
        <w:pStyle w:val="BodyText"/>
        <w:numPr>
          <w:ilvl w:val="1"/>
          <w:numId w:val="15"/>
        </w:numPr>
        <w:ind w:right="144"/>
      </w:pPr>
      <w:r w:rsidRPr="00A1583A">
        <w:t>Asset/liability duration</w:t>
      </w:r>
      <w:r w:rsidR="00A7370B">
        <w:t>;</w:t>
      </w:r>
    </w:p>
    <w:p w14:paraId="64D48215" w14:textId="3DAC3805" w:rsidR="009C684D" w:rsidRDefault="009C684D" w:rsidP="00A1583A">
      <w:pPr>
        <w:pStyle w:val="BodyText"/>
        <w:numPr>
          <w:ilvl w:val="1"/>
          <w:numId w:val="15"/>
        </w:numPr>
        <w:ind w:right="144"/>
      </w:pPr>
      <w:r>
        <w:lastRenderedPageBreak/>
        <w:t>Asset yield</w:t>
      </w:r>
      <w:r w:rsidR="00A7370B">
        <w:t>;</w:t>
      </w:r>
    </w:p>
    <w:p w14:paraId="3BB99D04" w14:textId="59E6B51D" w:rsidR="00B13732" w:rsidRDefault="00A1583A" w:rsidP="00B13732">
      <w:pPr>
        <w:pStyle w:val="BodyText"/>
        <w:numPr>
          <w:ilvl w:val="1"/>
          <w:numId w:val="15"/>
        </w:numPr>
        <w:ind w:right="144"/>
      </w:pPr>
      <w:r w:rsidRPr="00A1583A">
        <w:t>Interest rate sensitivity</w:t>
      </w:r>
      <w:r w:rsidR="00A7370B">
        <w:t>;</w:t>
      </w:r>
    </w:p>
    <w:p w14:paraId="40958003" w14:textId="351E8D64" w:rsidR="00B13732" w:rsidRPr="00106996" w:rsidRDefault="00B13732" w:rsidP="00321DAD">
      <w:pPr>
        <w:pStyle w:val="ListParagraph"/>
        <w:widowControl/>
        <w:numPr>
          <w:ilvl w:val="1"/>
          <w:numId w:val="15"/>
        </w:numPr>
        <w:autoSpaceDE/>
        <w:autoSpaceDN/>
        <w:spacing w:line="300" w:lineRule="atLeast"/>
        <w:ind w:right="144"/>
      </w:pPr>
      <w:r w:rsidRPr="00F155B3">
        <w:t>Sensitivity of reserves to key liability assumptions, including policyholder behavior (e.g., surrender and lapse), mortality, and longevity</w:t>
      </w:r>
      <w:r w:rsidR="00A7370B" w:rsidRPr="00F155B3">
        <w:t>;</w:t>
      </w:r>
    </w:p>
    <w:p w14:paraId="059DCA8E" w14:textId="1668BE5C" w:rsidR="00437883" w:rsidRDefault="00437883" w:rsidP="00A1583A">
      <w:pPr>
        <w:pStyle w:val="BodyText"/>
        <w:numPr>
          <w:ilvl w:val="1"/>
          <w:numId w:val="15"/>
        </w:numPr>
        <w:ind w:right="144"/>
      </w:pPr>
      <w:r>
        <w:t>Margins on key assumptions</w:t>
      </w:r>
      <w:r w:rsidR="00A7370B">
        <w:t>;</w:t>
      </w:r>
    </w:p>
    <w:p w14:paraId="5C42DC40" w14:textId="18E65579" w:rsidR="00A1583A" w:rsidRPr="00A1583A" w:rsidRDefault="00A1583A" w:rsidP="00A1583A">
      <w:pPr>
        <w:pStyle w:val="BodyText"/>
        <w:numPr>
          <w:ilvl w:val="1"/>
          <w:numId w:val="15"/>
        </w:numPr>
        <w:ind w:right="144"/>
      </w:pPr>
      <w:r w:rsidRPr="00A1583A">
        <w:t>Description of the scenarios driving reserve outcomes</w:t>
      </w:r>
      <w:r w:rsidR="00A7370B">
        <w:t>.</w:t>
      </w:r>
      <w:r w:rsidRPr="00A1583A">
        <w:t xml:space="preserve"> </w:t>
      </w:r>
    </w:p>
    <w:p w14:paraId="0C085C0B" w14:textId="77777777" w:rsidR="00A1583A" w:rsidRPr="00A1583A" w:rsidRDefault="00A1583A" w:rsidP="00A1583A">
      <w:pPr>
        <w:pStyle w:val="BodyText"/>
        <w:numPr>
          <w:ilvl w:val="0"/>
          <w:numId w:val="14"/>
        </w:numPr>
        <w:spacing w:before="252"/>
        <w:ind w:right="144"/>
        <w:rPr>
          <w:b/>
          <w:bCs/>
        </w:rPr>
      </w:pPr>
      <w:r w:rsidRPr="00A1583A">
        <w:rPr>
          <w:b/>
          <w:bCs/>
        </w:rPr>
        <w:t>Sensitivity testing</w:t>
      </w:r>
      <w:r w:rsidRPr="00A1583A">
        <w:t xml:space="preserve">: Performed where reserve changes are material to help distinguish impacts driven by underlying economics versus methodology differences. </w:t>
      </w:r>
    </w:p>
    <w:p w14:paraId="37BFCED7" w14:textId="77777777" w:rsidR="00A1583A" w:rsidRPr="00A1583A" w:rsidRDefault="00A1583A" w:rsidP="00A1583A">
      <w:pPr>
        <w:pStyle w:val="BodyText"/>
        <w:spacing w:before="252"/>
        <w:ind w:right="144"/>
        <w:rPr>
          <w:u w:val="single"/>
        </w:rPr>
      </w:pPr>
      <w:r w:rsidRPr="00A1583A">
        <w:rPr>
          <w:u w:val="single"/>
        </w:rPr>
        <w:t>Frequency</w:t>
      </w:r>
    </w:p>
    <w:p w14:paraId="546ED476" w14:textId="77777777" w:rsidR="00A1583A" w:rsidRPr="00A1583A" w:rsidRDefault="00A1583A" w:rsidP="00A1583A">
      <w:pPr>
        <w:pStyle w:val="BodyText"/>
        <w:numPr>
          <w:ilvl w:val="0"/>
          <w:numId w:val="16"/>
        </w:numPr>
        <w:spacing w:before="252"/>
        <w:ind w:right="144"/>
      </w:pPr>
      <w:r w:rsidRPr="00A1583A">
        <w:rPr>
          <w:b/>
          <w:bCs/>
        </w:rPr>
        <w:t>Initial analysis</w:t>
      </w:r>
      <w:r w:rsidRPr="00A1583A">
        <w:t xml:space="preserve">: A one-time analysis at the point of election, sufficient to support the adoption decision. </w:t>
      </w:r>
    </w:p>
    <w:p w14:paraId="1E9810C0" w14:textId="30A49422" w:rsidR="00A1583A" w:rsidRPr="00D30370" w:rsidRDefault="00A1583A" w:rsidP="00D30370">
      <w:pPr>
        <w:pStyle w:val="ListParagraph"/>
        <w:numPr>
          <w:ilvl w:val="0"/>
          <w:numId w:val="16"/>
        </w:numPr>
        <w:spacing w:line="300" w:lineRule="atLeast"/>
        <w:rPr>
          <w:rFonts w:ascii="Segoe UI" w:hAnsi="Segoe UI" w:cs="Segoe UI"/>
          <w:sz w:val="21"/>
          <w:szCs w:val="21"/>
        </w:rPr>
      </w:pPr>
      <w:r w:rsidRPr="00D30370">
        <w:rPr>
          <w:b/>
          <w:bCs/>
        </w:rPr>
        <w:t>Ongoing reporting</w:t>
      </w:r>
      <w:r w:rsidRPr="00A1583A">
        <w:t xml:space="preserve">: </w:t>
      </w:r>
      <w:r w:rsidR="004522B4">
        <w:t xml:space="preserve">After adoption, </w:t>
      </w:r>
      <w:r w:rsidR="004522B4" w:rsidRPr="00F155B3">
        <w:t xml:space="preserve">the business </w:t>
      </w:r>
      <w:r w:rsidR="00D30370" w:rsidRPr="00F155B3">
        <w:t>would be subject to standard VM</w:t>
      </w:r>
      <w:r w:rsidR="00D30370" w:rsidRPr="00F155B3">
        <w:noBreakHyphen/>
        <w:t>22 reporting and governance, including VM</w:t>
      </w:r>
      <w:r w:rsidR="00D30370" w:rsidRPr="00F155B3">
        <w:noBreakHyphen/>
        <w:t>31 documentation. No separate or ongoing reporting specific to retrospective adoption is intended.</w:t>
      </w:r>
    </w:p>
    <w:p w14:paraId="0EFD8E77" w14:textId="534EFC8D" w:rsidR="00A1583A" w:rsidRPr="00A1583A" w:rsidRDefault="00A1583A" w:rsidP="00A1583A">
      <w:pPr>
        <w:pStyle w:val="BodyText"/>
        <w:numPr>
          <w:ilvl w:val="0"/>
          <w:numId w:val="13"/>
        </w:numPr>
        <w:spacing w:before="252"/>
        <w:ind w:right="144"/>
        <w:rPr>
          <w:b/>
          <w:bCs/>
          <w:u w:val="single"/>
        </w:rPr>
      </w:pPr>
      <w:r w:rsidRPr="00A1583A">
        <w:rPr>
          <w:b/>
          <w:bCs/>
          <w:u w:val="single"/>
        </w:rPr>
        <w:t>Should there be a one-time option to implement or could companies implement at future points?</w:t>
      </w:r>
    </w:p>
    <w:p w14:paraId="797E2FB3" w14:textId="77777777" w:rsidR="00A1583A" w:rsidRDefault="00A1583A" w:rsidP="00A1583A"/>
    <w:p w14:paraId="5EFFB012" w14:textId="1F767FF3" w:rsidR="00A1583A" w:rsidRDefault="00640BDF" w:rsidP="00A1583A">
      <w:r>
        <w:t>ARCS believe</w:t>
      </w:r>
      <w:r w:rsidR="00AC0CE0">
        <w:t>s</w:t>
      </w:r>
      <w:r>
        <w:t xml:space="preserve"> there are valid arguments for allowing for </w:t>
      </w:r>
      <w:r w:rsidR="009F2A3A">
        <w:t xml:space="preserve">either </w:t>
      </w:r>
      <w:r>
        <w:t>a one-time option or for future points</w:t>
      </w:r>
      <w:r w:rsidR="00005808">
        <w:t xml:space="preserve">, both of which offer </w:t>
      </w:r>
      <w:r>
        <w:t>benefits and drawbacks</w:t>
      </w:r>
      <w:r w:rsidR="00005808">
        <w:t xml:space="preserve"> for your consideration</w:t>
      </w:r>
      <w:r>
        <w:t>:</w:t>
      </w:r>
    </w:p>
    <w:p w14:paraId="1361A858" w14:textId="77777777" w:rsidR="00640BDF" w:rsidRDefault="00640BDF" w:rsidP="00A1583A"/>
    <w:p w14:paraId="48F15A83" w14:textId="04ED8912" w:rsidR="00640BDF" w:rsidRDefault="00615B04" w:rsidP="00533E8B">
      <w:pPr>
        <w:ind w:left="360"/>
      </w:pPr>
      <w:r>
        <w:t>O</w:t>
      </w:r>
      <w:r w:rsidR="00533E8B">
        <w:t xml:space="preserve">ption A: </w:t>
      </w:r>
      <w:r w:rsidR="00640BDF">
        <w:t>All companies implement at the same time</w:t>
      </w:r>
      <w:r w:rsidR="00005808">
        <w:t>.</w:t>
      </w:r>
    </w:p>
    <w:p w14:paraId="52E22C47" w14:textId="27B020D4" w:rsidR="00640BDF" w:rsidRDefault="00640BDF" w:rsidP="00640BDF">
      <w:pPr>
        <w:pStyle w:val="ListParagraph"/>
        <w:numPr>
          <w:ilvl w:val="1"/>
          <w:numId w:val="18"/>
        </w:numPr>
      </w:pPr>
      <w:r>
        <w:t>The benefit of this option is the changes to reserves would happen uniformly across the industry</w:t>
      </w:r>
      <w:r w:rsidR="00A45F80">
        <w:t>,</w:t>
      </w:r>
      <w:r>
        <w:t xml:space="preserve"> instead of over a staggered period of time</w:t>
      </w:r>
      <w:r w:rsidR="00A45F80">
        <w:t>. This would allow</w:t>
      </w:r>
      <w:r>
        <w:t xml:space="preserve"> </w:t>
      </w:r>
      <w:r w:rsidR="00D63251">
        <w:t xml:space="preserve">regulators to gain </w:t>
      </w:r>
      <w:r>
        <w:t xml:space="preserve">greater insight into the movements </w:t>
      </w:r>
      <w:r w:rsidR="00D63251">
        <w:t>of reserves and the methodologies used across companies</w:t>
      </w:r>
      <w:r w:rsidR="00A45F80">
        <w:t>.</w:t>
      </w:r>
    </w:p>
    <w:p w14:paraId="31EE0DD8" w14:textId="20175E47" w:rsidR="00640BDF" w:rsidRDefault="004E4DEF" w:rsidP="00AA22AA">
      <w:pPr>
        <w:pStyle w:val="ListParagraph"/>
        <w:numPr>
          <w:ilvl w:val="1"/>
          <w:numId w:val="18"/>
        </w:numPr>
      </w:pPr>
      <w:r>
        <w:t xml:space="preserve">One key </w:t>
      </w:r>
      <w:r w:rsidR="00233389">
        <w:t>drawback</w:t>
      </w:r>
      <w:r w:rsidR="00640BDF">
        <w:t xml:space="preserve"> </w:t>
      </w:r>
      <w:r w:rsidR="00A45F80">
        <w:t>is</w:t>
      </w:r>
      <w:r w:rsidR="00640BDF">
        <w:t xml:space="preserve"> the </w:t>
      </w:r>
      <w:r w:rsidR="00D63251">
        <w:t xml:space="preserve">increased burden on regulators </w:t>
      </w:r>
      <w:r w:rsidR="00AC0CE0">
        <w:t xml:space="preserve">in </w:t>
      </w:r>
      <w:r w:rsidR="00D63251">
        <w:t>the year of the implementation</w:t>
      </w:r>
      <w:r w:rsidR="00233389">
        <w:t xml:space="preserve">. </w:t>
      </w:r>
      <w:r w:rsidR="00D63251">
        <w:t xml:space="preserve">Additionally, some companies may want and </w:t>
      </w:r>
      <w:r w:rsidR="000B3755">
        <w:t xml:space="preserve">be </w:t>
      </w:r>
      <w:r w:rsidR="00D63251">
        <w:t>ready to adopt sooner</w:t>
      </w:r>
      <w:r w:rsidR="00B55875">
        <w:t>,</w:t>
      </w:r>
      <w:r w:rsidR="00D63251">
        <w:t xml:space="preserve"> while others may want to wait until their system</w:t>
      </w:r>
      <w:r w:rsidR="00AC0CE0">
        <w:t>s</w:t>
      </w:r>
      <w:r w:rsidR="00D63251">
        <w:t xml:space="preserve"> are upgraded</w:t>
      </w:r>
      <w:r>
        <w:t xml:space="preserve"> or until capital framework changes are finalized</w:t>
      </w:r>
      <w:r w:rsidR="00B55875">
        <w:t>. R</w:t>
      </w:r>
      <w:r w:rsidR="00D63251">
        <w:t>egulators may be able to learn from early adopters and address concerns before others adopt</w:t>
      </w:r>
      <w:r w:rsidR="00B55875">
        <w:t>.</w:t>
      </w:r>
    </w:p>
    <w:p w14:paraId="27405C5C" w14:textId="1D51EFAD" w:rsidR="00640BDF" w:rsidRDefault="00640BDF" w:rsidP="00AA22AA"/>
    <w:p w14:paraId="65B06755" w14:textId="55ED0F7F" w:rsidR="00640BDF" w:rsidRDefault="00533E8B" w:rsidP="00533E8B">
      <w:pPr>
        <w:ind w:left="360"/>
      </w:pPr>
      <w:r>
        <w:t xml:space="preserve">Option B: </w:t>
      </w:r>
      <w:r w:rsidR="00640BDF">
        <w:t xml:space="preserve">Companies can select different points in time, but when a company selects </w:t>
      </w:r>
      <w:r w:rsidR="00D63251">
        <w:t xml:space="preserve">a </w:t>
      </w:r>
      <w:r w:rsidR="00640BDF">
        <w:t>point in time, it must be for all business</w:t>
      </w:r>
      <w:r w:rsidR="00233389">
        <w:t>es</w:t>
      </w:r>
      <w:r w:rsidR="00D63251">
        <w:t xml:space="preserve"> that would be brought into VM-22</w:t>
      </w:r>
      <w:r w:rsidR="00233389">
        <w:t>.</w:t>
      </w:r>
    </w:p>
    <w:p w14:paraId="7C337A21" w14:textId="159C2915" w:rsidR="00640BDF" w:rsidRDefault="00D63251" w:rsidP="00533E8B">
      <w:pPr>
        <w:pStyle w:val="ListParagraph"/>
        <w:numPr>
          <w:ilvl w:val="0"/>
          <w:numId w:val="20"/>
        </w:numPr>
      </w:pPr>
      <w:r>
        <w:t xml:space="preserve">The key benefit of </w:t>
      </w:r>
      <w:r w:rsidR="0058781B">
        <w:t>Option B when compared to Option A is</w:t>
      </w:r>
      <w:r w:rsidR="00F750E8">
        <w:t xml:space="preserve"> the flexibility</w:t>
      </w:r>
      <w:r w:rsidR="004116EF">
        <w:t xml:space="preserve"> it provides companies </w:t>
      </w:r>
      <w:r w:rsidR="00F750E8">
        <w:t xml:space="preserve">to adopt when </w:t>
      </w:r>
      <w:r w:rsidR="004116EF">
        <w:t>they are</w:t>
      </w:r>
      <w:r w:rsidR="00753DE5">
        <w:t xml:space="preserve"> ready</w:t>
      </w:r>
      <w:r w:rsidR="00F750E8">
        <w:t xml:space="preserve">, </w:t>
      </w:r>
      <w:r w:rsidR="00753DE5">
        <w:t>rather than</w:t>
      </w:r>
      <w:r>
        <w:t xml:space="preserve"> </w:t>
      </w:r>
      <w:r w:rsidR="00753DE5">
        <w:t xml:space="preserve">waiting </w:t>
      </w:r>
      <w:r w:rsidR="00F77A66">
        <w:t xml:space="preserve">until </w:t>
      </w:r>
      <w:r>
        <w:t>the entire industry is ready</w:t>
      </w:r>
      <w:r w:rsidR="00F750E8">
        <w:t xml:space="preserve">. It </w:t>
      </w:r>
      <w:r>
        <w:t xml:space="preserve">potentially </w:t>
      </w:r>
      <w:r w:rsidR="00F750E8">
        <w:t xml:space="preserve">increases </w:t>
      </w:r>
      <w:r>
        <w:t xml:space="preserve">the </w:t>
      </w:r>
      <w:r w:rsidR="004A737A">
        <w:t>number</w:t>
      </w:r>
      <w:r>
        <w:t xml:space="preserve"> of companies that decide to adopt VM-22 retrospectively</w:t>
      </w:r>
      <w:r w:rsidR="00233389">
        <w:t xml:space="preserve">. </w:t>
      </w:r>
      <w:r>
        <w:t>A staggered implementation period would allow regulators to</w:t>
      </w:r>
      <w:r w:rsidR="004A737A">
        <w:t xml:space="preserve"> learn from early adopters who are ready to adopt sooner than others</w:t>
      </w:r>
      <w:r w:rsidR="00E44D56">
        <w:t xml:space="preserve">. </w:t>
      </w:r>
    </w:p>
    <w:p w14:paraId="2CF7C368" w14:textId="115D36E8" w:rsidR="00D63251" w:rsidRDefault="00AE6099" w:rsidP="00533E8B">
      <w:pPr>
        <w:pStyle w:val="ListParagraph"/>
        <w:numPr>
          <w:ilvl w:val="0"/>
          <w:numId w:val="20"/>
        </w:numPr>
      </w:pPr>
      <w:r>
        <w:t>D</w:t>
      </w:r>
      <w:r w:rsidR="004A737A">
        <w:t xml:space="preserve">rawbacks include </w:t>
      </w:r>
      <w:r w:rsidR="00D63251">
        <w:t xml:space="preserve">the potential </w:t>
      </w:r>
      <w:r w:rsidR="004A737A">
        <w:t xml:space="preserve">shifts in reserves </w:t>
      </w:r>
      <w:r w:rsidR="00AA22AA">
        <w:t>and</w:t>
      </w:r>
      <w:r w:rsidR="004A737A">
        <w:t xml:space="preserve"> capital happening at different points in time for different companies, </w:t>
      </w:r>
      <w:r w:rsidR="007E47E7">
        <w:t>as well as</w:t>
      </w:r>
      <w:r w:rsidR="004A737A">
        <w:t xml:space="preserve"> the </w:t>
      </w:r>
      <w:r w:rsidR="00F87844">
        <w:t xml:space="preserve">possibility that </w:t>
      </w:r>
      <w:r w:rsidR="004A737A">
        <w:t xml:space="preserve">a majority of companies </w:t>
      </w:r>
      <w:r w:rsidR="007B414A">
        <w:t xml:space="preserve">would </w:t>
      </w:r>
      <w:r w:rsidR="004A737A">
        <w:t xml:space="preserve">wait </w:t>
      </w:r>
      <w:r w:rsidR="0089530F">
        <w:t>until</w:t>
      </w:r>
      <w:r w:rsidR="004A737A">
        <w:t xml:space="preserve"> the end of the implementation window in order to implement all of their optional business</w:t>
      </w:r>
      <w:r w:rsidR="007E47E7">
        <w:t>,</w:t>
      </w:r>
      <w:r w:rsidR="004A737A">
        <w:t xml:space="preserve"> instead of implementing each block of business as they are ready.</w:t>
      </w:r>
    </w:p>
    <w:p w14:paraId="28250577" w14:textId="3A317AC0" w:rsidR="00640BDF" w:rsidRDefault="00640BDF" w:rsidP="00AA22AA"/>
    <w:p w14:paraId="6F4391EA" w14:textId="5767039E" w:rsidR="00640BDF" w:rsidRDefault="00533E8B" w:rsidP="00533E8B">
      <w:pPr>
        <w:ind w:left="360"/>
      </w:pPr>
      <w:r>
        <w:t xml:space="preserve">Option C: </w:t>
      </w:r>
      <w:r w:rsidR="00640BDF">
        <w:t xml:space="preserve">Each company can select different points in time for </w:t>
      </w:r>
      <w:r w:rsidR="00F64018">
        <w:t>different</w:t>
      </w:r>
      <w:r w:rsidR="00640BDF">
        <w:t xml:space="preserve"> block</w:t>
      </w:r>
      <w:r w:rsidR="000031CB">
        <w:t>s</w:t>
      </w:r>
      <w:r w:rsidR="00640BDF">
        <w:t xml:space="preserve"> of business</w:t>
      </w:r>
    </w:p>
    <w:p w14:paraId="567E59CF" w14:textId="2362EEEC" w:rsidR="00640BDF" w:rsidRDefault="004A737A" w:rsidP="00533E8B">
      <w:pPr>
        <w:pStyle w:val="ListParagraph"/>
        <w:numPr>
          <w:ilvl w:val="0"/>
          <w:numId w:val="21"/>
        </w:numPr>
      </w:pPr>
      <w:r>
        <w:t xml:space="preserve">We believe this path provides companies with the most flexibility of implementing retrospective VM-22 and </w:t>
      </w:r>
      <w:r w:rsidR="002F45F0">
        <w:t>is</w:t>
      </w:r>
      <w:r>
        <w:t xml:space="preserve"> the most likely to encourage more companies to retroactively adopt VM-22</w:t>
      </w:r>
      <w:r w:rsidR="00233389">
        <w:t xml:space="preserve">. </w:t>
      </w:r>
      <w:r>
        <w:t>It is the most in line with the currently proposed optional adoption framework</w:t>
      </w:r>
      <w:r w:rsidR="002F45F0">
        <w:t>,</w:t>
      </w:r>
      <w:r>
        <w:t xml:space="preserve"> where companies can adopt each retroactive block by policy form as they are ready</w:t>
      </w:r>
      <w:r w:rsidR="00C46F28">
        <w:t>. T</w:t>
      </w:r>
      <w:r>
        <w:t xml:space="preserve">his in turn will potentially increase the dispersion of when blocks of business are adopted, allowing regulators to gain </w:t>
      </w:r>
      <w:r>
        <w:lastRenderedPageBreak/>
        <w:t>insight into more early adopters</w:t>
      </w:r>
    </w:p>
    <w:p w14:paraId="29ED5013" w14:textId="3D44ACB7" w:rsidR="004A737A" w:rsidRDefault="00C46F28" w:rsidP="00533E8B">
      <w:pPr>
        <w:pStyle w:val="ListParagraph"/>
        <w:numPr>
          <w:ilvl w:val="0"/>
          <w:numId w:val="21"/>
        </w:numPr>
      </w:pPr>
      <w:r>
        <w:t>T</w:t>
      </w:r>
      <w:r w:rsidR="004A737A">
        <w:t>he primary drawback of this option is</w:t>
      </w:r>
      <w:r>
        <w:t xml:space="preserve">, </w:t>
      </w:r>
      <w:r w:rsidR="004A737A">
        <w:t xml:space="preserve">unlike </w:t>
      </w:r>
      <w:r>
        <w:t>O</w:t>
      </w:r>
      <w:r w:rsidR="004A737A">
        <w:t xml:space="preserve">ption A </w:t>
      </w:r>
      <w:r>
        <w:t xml:space="preserve">or </w:t>
      </w:r>
      <w:r w:rsidR="004A737A">
        <w:t>B, the full impact of retrospective adoption on the company is unlikely to be captured at one point in time and</w:t>
      </w:r>
      <w:r w:rsidR="00610831">
        <w:t>,</w:t>
      </w:r>
      <w:r w:rsidR="004A737A">
        <w:t xml:space="preserve"> instead</w:t>
      </w:r>
      <w:r w:rsidR="00610831">
        <w:t>,</w:t>
      </w:r>
      <w:r w:rsidR="004A737A">
        <w:t xml:space="preserve"> will be staggered</w:t>
      </w:r>
      <w:r w:rsidR="00233389">
        <w:t xml:space="preserve">. </w:t>
      </w:r>
      <w:r w:rsidR="004A737A">
        <w:t>This can be material</w:t>
      </w:r>
      <w:r w:rsidR="00610831">
        <w:t>,</w:t>
      </w:r>
      <w:r w:rsidR="004A737A">
        <w:t xml:space="preserve"> due to the levels of aggregation allowed in VM-22</w:t>
      </w:r>
      <w:r w:rsidR="00233389">
        <w:t xml:space="preserve">. </w:t>
      </w:r>
      <w:r w:rsidR="004A737A">
        <w:t>For example, assume company ABC adopts a retrospective FDA block in 2028 a retrospective payout block in 2029 that is aggregated with the previously adopted FDA block, and a FIA block in 2030 that is aggregated with payouts and FDA</w:t>
      </w:r>
      <w:r w:rsidR="00233389">
        <w:t xml:space="preserve">. </w:t>
      </w:r>
      <w:r w:rsidR="004A737A">
        <w:t xml:space="preserve">This would make understanding the </w:t>
      </w:r>
      <w:r w:rsidR="009C684D">
        <w:t>full i</w:t>
      </w:r>
      <w:r w:rsidR="004A737A">
        <w:t xml:space="preserve">mpact of retrospective adoption difficult to capture until after </w:t>
      </w:r>
      <w:r w:rsidR="00211642">
        <w:t xml:space="preserve">the </w:t>
      </w:r>
      <w:r w:rsidR="004A737A">
        <w:t>company is finished adopting all optional blocks of business.</w:t>
      </w:r>
    </w:p>
    <w:p w14:paraId="727567BC" w14:textId="77777777" w:rsidR="00A1583A" w:rsidRDefault="00A1583A" w:rsidP="00A1583A"/>
    <w:p w14:paraId="14135339" w14:textId="363BEC78" w:rsidR="00A1583A" w:rsidRDefault="00640BDF" w:rsidP="00AA22AA">
      <w:r>
        <w:t xml:space="preserve">Regardless of which path is taken, ARCS believes that adoption should be </w:t>
      </w:r>
      <w:r w:rsidRPr="00640BDF">
        <w:t>irrevocable</w:t>
      </w:r>
      <w:r w:rsidR="00233389" w:rsidRPr="00640BDF">
        <w:t xml:space="preserve">. </w:t>
      </w:r>
      <w:r w:rsidRPr="00640BDF">
        <w:t>Companies should not be allowed to go back to CARVM after electing PBR</w:t>
      </w:r>
      <w:r w:rsidR="00233389">
        <w:t xml:space="preserve">. </w:t>
      </w:r>
      <w:r w:rsidR="00F9528E">
        <w:t>Ideally</w:t>
      </w:r>
      <w:r>
        <w:t xml:space="preserve">, the implementation window should </w:t>
      </w:r>
      <w:r w:rsidR="00704233">
        <w:t xml:space="preserve">partially </w:t>
      </w:r>
      <w:r>
        <w:t>overlap with the implementation of VM-22 on a prospective</w:t>
      </w:r>
      <w:r w:rsidR="0056604C">
        <w:t>-</w:t>
      </w:r>
      <w:r>
        <w:t>only basis</w:t>
      </w:r>
      <w:r w:rsidR="007D0572">
        <w:t xml:space="preserve">. This allows </w:t>
      </w:r>
      <w:r w:rsidR="00704233">
        <w:t>for early retrospective adopters to</w:t>
      </w:r>
      <w:r>
        <w:t xml:space="preserve"> reduce large </w:t>
      </w:r>
      <w:r w:rsidR="007B414A">
        <w:t>year-</w:t>
      </w:r>
      <w:r w:rsidR="00302E9C">
        <w:t>over-year</w:t>
      </w:r>
      <w:r w:rsidR="007B414A">
        <w:t xml:space="preserve"> </w:t>
      </w:r>
      <w:r>
        <w:t xml:space="preserve">variances that could </w:t>
      </w:r>
      <w:r w:rsidR="00F64018">
        <w:t xml:space="preserve">be </w:t>
      </w:r>
      <w:r>
        <w:t xml:space="preserve">due to changes in methodology </w:t>
      </w:r>
      <w:r w:rsidR="00704233">
        <w:t xml:space="preserve">(e.g., asset selection) </w:t>
      </w:r>
      <w:r>
        <w:t xml:space="preserve">arising from </w:t>
      </w:r>
      <w:r w:rsidR="00F64018">
        <w:t xml:space="preserve">modeling </w:t>
      </w:r>
      <w:r>
        <w:t>a prospective</w:t>
      </w:r>
      <w:r w:rsidR="00EE1190">
        <w:t>-</w:t>
      </w:r>
      <w:r>
        <w:t>only block one year and a full</w:t>
      </w:r>
      <w:r w:rsidR="0056604C">
        <w:t>-</w:t>
      </w:r>
      <w:r>
        <w:t>retrospective block the next.</w:t>
      </w:r>
      <w:r w:rsidR="00442402">
        <w:t xml:space="preserve"> The implementation window for retrospective adoption should have a reasonable end date.</w:t>
      </w:r>
    </w:p>
    <w:p w14:paraId="6FFB6427" w14:textId="77777777" w:rsidR="00A1583A" w:rsidRDefault="00A1583A" w:rsidP="00A1583A">
      <w:pPr>
        <w:pStyle w:val="ListParagraph"/>
        <w:ind w:left="360" w:firstLine="0"/>
      </w:pPr>
    </w:p>
    <w:p w14:paraId="63F35E26" w14:textId="334F04F6" w:rsidR="00A1583A" w:rsidRPr="00A1583A" w:rsidRDefault="00A1583A" w:rsidP="00A1583A">
      <w:pPr>
        <w:pStyle w:val="ListParagraph"/>
        <w:numPr>
          <w:ilvl w:val="0"/>
          <w:numId w:val="13"/>
        </w:numPr>
        <w:rPr>
          <w:b/>
          <w:bCs/>
          <w:u w:val="single"/>
        </w:rPr>
      </w:pPr>
      <w:r w:rsidRPr="00A1583A">
        <w:rPr>
          <w:b/>
          <w:bCs/>
          <w:u w:val="single"/>
        </w:rPr>
        <w:t xml:space="preserve">How should testing be designed to address aggregation impacts on business already valued under VM-22 requirements? </w:t>
      </w:r>
    </w:p>
    <w:p w14:paraId="3C12C5C4" w14:textId="77777777" w:rsidR="00A1583A" w:rsidRDefault="00A1583A" w:rsidP="00A1583A"/>
    <w:p w14:paraId="598BCA01" w14:textId="33EB969B" w:rsidR="00A1583A" w:rsidRPr="00A1583A" w:rsidRDefault="00A1583A" w:rsidP="00A1583A">
      <w:r w:rsidRPr="00A1583A">
        <w:t xml:space="preserve">ARCS recommends that reserves </w:t>
      </w:r>
      <w:r w:rsidR="00FF1F72">
        <w:t>be</w:t>
      </w:r>
      <w:r w:rsidRPr="00A1583A">
        <w:t xml:space="preserve"> calculated and disclosure </w:t>
      </w:r>
      <w:r w:rsidR="00302E9C">
        <w:t xml:space="preserve">be </w:t>
      </w:r>
      <w:r w:rsidRPr="00A1583A">
        <w:t>provided in a couple of different ways</w:t>
      </w:r>
      <w:r w:rsidR="00233389" w:rsidRPr="00A1583A">
        <w:t xml:space="preserve">. </w:t>
      </w:r>
      <w:r w:rsidRPr="00A1583A">
        <w:t>Calculations should be performed for all blocks of business that can be adopted retroactively</w:t>
      </w:r>
      <w:r w:rsidR="00C11B9E">
        <w:t>,</w:t>
      </w:r>
      <w:r w:rsidR="00727C35">
        <w:t xml:space="preserve"> unless rationale is provided for why calculations are not done for a particular block that is not being retrospectively adopted (e.g., small, closed block of business)</w:t>
      </w:r>
      <w:r w:rsidR="00233389" w:rsidRPr="00A1583A">
        <w:t xml:space="preserve">. </w:t>
      </w:r>
      <w:r w:rsidR="008939D8" w:rsidRPr="008939D8">
        <w:t xml:space="preserve">Materiality or other considerations should be explained by the actuary to justify </w:t>
      </w:r>
      <w:r w:rsidR="001F52DE">
        <w:t xml:space="preserve">why </w:t>
      </w:r>
      <w:r w:rsidR="008939D8" w:rsidRPr="008939D8">
        <w:t>numerical calculations for any blocks of business</w:t>
      </w:r>
      <w:r w:rsidR="001F52DE">
        <w:t xml:space="preserve"> were not included</w:t>
      </w:r>
      <w:r w:rsidR="00E44D56" w:rsidRPr="008939D8">
        <w:t xml:space="preserve">. </w:t>
      </w:r>
      <w:r w:rsidR="008939D8" w:rsidRPr="008939D8">
        <w:t>ARCS also recommends that companies wish</w:t>
      </w:r>
      <w:r w:rsidR="001F52DE">
        <w:t>ing</w:t>
      </w:r>
      <w:r w:rsidR="008939D8" w:rsidRPr="008939D8">
        <w:t xml:space="preserve"> to adopt VM-22 prospective</w:t>
      </w:r>
      <w:r w:rsidR="00EA2994">
        <w:t>-</w:t>
      </w:r>
      <w:r w:rsidR="008939D8" w:rsidRPr="008939D8">
        <w:t xml:space="preserve">only need </w:t>
      </w:r>
      <w:r w:rsidR="004B04BF">
        <w:t>n</w:t>
      </w:r>
      <w:r w:rsidR="003D3565">
        <w:t>o</w:t>
      </w:r>
      <w:r w:rsidR="008939D8" w:rsidRPr="008939D8">
        <w:t>t provide information on older blocks of business</w:t>
      </w:r>
      <w:r w:rsidR="00E44D56">
        <w:t xml:space="preserve">. </w:t>
      </w:r>
      <w:r w:rsidRPr="00A1583A">
        <w:t>Blocks should be determined based on similar product form and product characteristics</w:t>
      </w:r>
      <w:r w:rsidR="003D3565">
        <w:t>, as well as</w:t>
      </w:r>
      <w:r w:rsidRPr="00A1583A">
        <w:t xml:space="preserve"> whether the company intends to apply VM-22 to that block or not. For each block of business, reserves should be run </w:t>
      </w:r>
      <w:r w:rsidR="003D3565">
        <w:t xml:space="preserve">on </w:t>
      </w:r>
      <w:r w:rsidR="003012F5">
        <w:t xml:space="preserve">a </w:t>
      </w:r>
      <w:r w:rsidRPr="00A1583A">
        <w:t>standalone</w:t>
      </w:r>
      <w:r w:rsidR="003012F5">
        <w:t>,</w:t>
      </w:r>
      <w:r w:rsidRPr="00A1583A">
        <w:t xml:space="preserve"> pre-VM</w:t>
      </w:r>
      <w:r w:rsidR="00FF1F72">
        <w:t>-</w:t>
      </w:r>
      <w:r w:rsidRPr="00A1583A">
        <w:t>22 basis as well as on a VM-22 basis</w:t>
      </w:r>
      <w:r w:rsidR="00233389" w:rsidRPr="00A1583A">
        <w:t xml:space="preserve">. </w:t>
      </w:r>
      <w:r w:rsidRPr="00A1583A">
        <w:t>This would identify the benefit or cost from a reserving standpoint of moving or not moving the block reserve calculations to VM-22</w:t>
      </w:r>
      <w:r w:rsidR="00233389" w:rsidRPr="00A1583A">
        <w:t xml:space="preserve">. </w:t>
      </w:r>
    </w:p>
    <w:p w14:paraId="62D17F1F" w14:textId="77777777" w:rsidR="00A1583A" w:rsidRPr="00A1583A" w:rsidRDefault="00A1583A" w:rsidP="00A1583A"/>
    <w:p w14:paraId="6E75C0B3" w14:textId="77777777" w:rsidR="00EA76D6" w:rsidRDefault="00A1583A" w:rsidP="00A1583A">
      <w:r w:rsidRPr="00A1583A">
        <w:t xml:space="preserve">For each retroactive block that will be moved to VM-22, </w:t>
      </w:r>
    </w:p>
    <w:p w14:paraId="1A06C4A5" w14:textId="6BA13BAB" w:rsidR="00A1583A" w:rsidRPr="00A1583A" w:rsidRDefault="00EA76D6" w:rsidP="00EA76D6">
      <w:pPr>
        <w:pStyle w:val="ListParagraph"/>
        <w:numPr>
          <w:ilvl w:val="0"/>
          <w:numId w:val="22"/>
        </w:numPr>
      </w:pPr>
      <w:r>
        <w:t>T</w:t>
      </w:r>
      <w:r w:rsidR="00A1583A" w:rsidRPr="00A1583A">
        <w:t>he aggregation benefit of combining that block with the current VM-22 block</w:t>
      </w:r>
      <w:r w:rsidR="00AE31A0">
        <w:t xml:space="preserve"> should be calculated</w:t>
      </w:r>
      <w:r w:rsidR="00233389" w:rsidRPr="00A1583A">
        <w:t xml:space="preserve">. </w:t>
      </w:r>
      <w:r w:rsidR="00A1583A" w:rsidRPr="00A1583A">
        <w:t xml:space="preserve">For example, </w:t>
      </w:r>
      <w:r w:rsidR="00AE31A0">
        <w:t>B</w:t>
      </w:r>
      <w:r w:rsidR="00A1583A" w:rsidRPr="00A1583A">
        <w:t xml:space="preserve">locks A, B, </w:t>
      </w:r>
      <w:r w:rsidR="00AE31A0">
        <w:t xml:space="preserve">and </w:t>
      </w:r>
      <w:r w:rsidR="00A1583A" w:rsidRPr="00A1583A">
        <w:t>C are targeted to move from a pre-VM</w:t>
      </w:r>
      <w:r w:rsidR="00FF1F72">
        <w:t>-</w:t>
      </w:r>
      <w:r w:rsidR="00A1583A" w:rsidRPr="00A1583A">
        <w:t>22 basis to VM-22</w:t>
      </w:r>
      <w:r w:rsidR="00233389" w:rsidRPr="00A1583A">
        <w:t xml:space="preserve">. </w:t>
      </w:r>
      <w:r w:rsidR="00A1583A" w:rsidRPr="00A1583A">
        <w:t>Block A is aggregated with the VM-22 block</w:t>
      </w:r>
      <w:r w:rsidR="00AE31A0">
        <w:t>,</w:t>
      </w:r>
      <w:r w:rsidR="00A1583A" w:rsidRPr="00A1583A">
        <w:t xml:space="preserve"> while </w:t>
      </w:r>
      <w:r w:rsidR="00AE31A0">
        <w:t>B</w:t>
      </w:r>
      <w:r w:rsidR="00A1583A" w:rsidRPr="00A1583A">
        <w:t>locks B and C are not included</w:t>
      </w:r>
      <w:r w:rsidR="00233389" w:rsidRPr="00A1583A">
        <w:t xml:space="preserve">. </w:t>
      </w:r>
      <w:r w:rsidR="00A1583A" w:rsidRPr="00A1583A">
        <w:t>The same is done for Blocks B and C</w:t>
      </w:r>
      <w:r w:rsidR="004D2A44">
        <w:t xml:space="preserve"> independently of one another</w:t>
      </w:r>
      <w:r w:rsidR="00233389" w:rsidRPr="00A1583A">
        <w:t xml:space="preserve">. </w:t>
      </w:r>
      <w:r w:rsidR="00A1583A" w:rsidRPr="00A1583A">
        <w:t>This will identify the aggregation benefit of adding a particular block to VM-22.</w:t>
      </w:r>
    </w:p>
    <w:p w14:paraId="10B2B580" w14:textId="77777777" w:rsidR="00A1583A" w:rsidRPr="00A1583A" w:rsidRDefault="00A1583A" w:rsidP="00A1583A"/>
    <w:p w14:paraId="32E9B4E2" w14:textId="6FFD7812" w:rsidR="00A1583A" w:rsidRPr="00A1583A" w:rsidRDefault="00EA76D6" w:rsidP="00EA76D6">
      <w:pPr>
        <w:pStyle w:val="ListParagraph"/>
        <w:numPr>
          <w:ilvl w:val="0"/>
          <w:numId w:val="22"/>
        </w:numPr>
      </w:pPr>
      <w:r>
        <w:t>A</w:t>
      </w:r>
      <w:r w:rsidR="00A1583A" w:rsidRPr="00A1583A">
        <w:t xml:space="preserve">ll proposed blocks to move to VM-22 </w:t>
      </w:r>
      <w:r>
        <w:t xml:space="preserve">would then be </w:t>
      </w:r>
      <w:r w:rsidR="00A1583A" w:rsidRPr="00A1583A">
        <w:t>aggregated with the VM-22 block</w:t>
      </w:r>
      <w:r w:rsidR="00285139">
        <w:t>, so that</w:t>
      </w:r>
      <w:r w:rsidR="00A1583A" w:rsidRPr="00A1583A">
        <w:t xml:space="preserve"> the aggregation benefit </w:t>
      </w:r>
      <w:r w:rsidR="00EA2994">
        <w:t>can be</w:t>
      </w:r>
      <w:r w:rsidR="00EA2994" w:rsidRPr="00A1583A">
        <w:t xml:space="preserve"> </w:t>
      </w:r>
      <w:r w:rsidR="00A1583A" w:rsidRPr="00A1583A">
        <w:t>determined</w:t>
      </w:r>
      <w:r w:rsidR="00233389" w:rsidRPr="00A1583A">
        <w:t xml:space="preserve">. </w:t>
      </w:r>
      <w:r w:rsidR="00A1583A" w:rsidRPr="00A1583A">
        <w:t>There will likely be some disconnect with the prior analysis because of aggregation benefits between retroactive blocks</w:t>
      </w:r>
      <w:r w:rsidR="00233389" w:rsidRPr="00A1583A">
        <w:t xml:space="preserve">. </w:t>
      </w:r>
      <w:r w:rsidR="00A1583A" w:rsidRPr="00A1583A">
        <w:t>This will identify the overall aggregation impact from the proposed retrospective block movements to VM-22.</w:t>
      </w:r>
    </w:p>
    <w:p w14:paraId="4ACD2395" w14:textId="77777777" w:rsidR="00A1583A" w:rsidRPr="00A1583A" w:rsidRDefault="00A1583A" w:rsidP="00A1583A"/>
    <w:p w14:paraId="3ADAF108" w14:textId="26786642" w:rsidR="00A1583A" w:rsidRPr="00A1583A" w:rsidRDefault="00E9725F" w:rsidP="00133B7F">
      <w:pPr>
        <w:pStyle w:val="ListParagraph"/>
        <w:numPr>
          <w:ilvl w:val="0"/>
          <w:numId w:val="22"/>
        </w:numPr>
      </w:pPr>
      <w:r>
        <w:t>A</w:t>
      </w:r>
      <w:r w:rsidR="00A1583A" w:rsidRPr="00A1583A">
        <w:t>ll blocks</w:t>
      </w:r>
      <w:r>
        <w:t xml:space="preserve"> would then be run</w:t>
      </w:r>
      <w:r w:rsidR="00A1583A" w:rsidRPr="00A1583A">
        <w:t>, both those that are intended to move to VM-22 and those that are not, with the VM-22 block to determine the aggregation benefit. This will identify if there is a material difference in reserves</w:t>
      </w:r>
      <w:r w:rsidR="00233389">
        <w:t>,</w:t>
      </w:r>
      <w:r w:rsidR="00A1583A" w:rsidRPr="00A1583A">
        <w:t xml:space="preserve"> </w:t>
      </w:r>
      <w:r w:rsidR="00233389" w:rsidRPr="00A1583A">
        <w:t>whether</w:t>
      </w:r>
      <w:r w:rsidR="00A1583A" w:rsidRPr="00A1583A">
        <w:t xml:space="preserve"> retrospective adoption was all or nothing. </w:t>
      </w:r>
    </w:p>
    <w:p w14:paraId="7C5D9AF1" w14:textId="77777777" w:rsidR="00A1583A" w:rsidRPr="00A1583A" w:rsidRDefault="00A1583A" w:rsidP="00A1583A"/>
    <w:p w14:paraId="2E0E03FE" w14:textId="77777777" w:rsidR="00A1583A" w:rsidRPr="00A1583A" w:rsidRDefault="00A1583A" w:rsidP="00A1583A">
      <w:r w:rsidRPr="00A1583A">
        <w:t>There should be descriptive information provided explaining company decisions on moving to VM-22 or not. This should include any explanation of material reserve decreases from the decisions made.</w:t>
      </w:r>
    </w:p>
    <w:p w14:paraId="6ABBE53D" w14:textId="77777777" w:rsidR="00A1583A" w:rsidRPr="00A1583A" w:rsidRDefault="00A1583A" w:rsidP="00A1583A"/>
    <w:p w14:paraId="45563751" w14:textId="3F55D371" w:rsidR="00A1583A" w:rsidRPr="00A1583A" w:rsidRDefault="00A1583A" w:rsidP="00A1583A">
      <w:r w:rsidRPr="00A1583A">
        <w:t>All of these analyses should reflect VM-22 rules on aggregation</w:t>
      </w:r>
      <w:r w:rsidR="00140CB3">
        <w:t>,</w:t>
      </w:r>
      <w:r w:rsidRPr="00A1583A">
        <w:t xml:space="preserve"> such as by </w:t>
      </w:r>
      <w:r w:rsidR="00140CB3">
        <w:t>r</w:t>
      </w:r>
      <w:r w:rsidRPr="00A1583A">
        <w:t xml:space="preserve">eserving </w:t>
      </w:r>
      <w:r w:rsidR="00140CB3">
        <w:t>c</w:t>
      </w:r>
      <w:r w:rsidRPr="00A1583A">
        <w:t xml:space="preserve">ategory or being able </w:t>
      </w:r>
      <w:r w:rsidRPr="00A1583A">
        <w:lastRenderedPageBreak/>
        <w:t xml:space="preserve">to combine the </w:t>
      </w:r>
      <w:r w:rsidR="00140CB3">
        <w:t>p</w:t>
      </w:r>
      <w:r w:rsidRPr="00A1583A">
        <w:t xml:space="preserve">ayout and </w:t>
      </w:r>
      <w:r w:rsidR="00140CB3">
        <w:t>a</w:t>
      </w:r>
      <w:r w:rsidRPr="00A1583A">
        <w:t>ccumulation categories, appropriate model segments, etc.</w:t>
      </w:r>
    </w:p>
    <w:p w14:paraId="141C0E90" w14:textId="77777777" w:rsidR="00A1583A" w:rsidRDefault="00A1583A" w:rsidP="00A1583A"/>
    <w:p w14:paraId="1102AD67" w14:textId="71AEFCC0" w:rsidR="00A1583A" w:rsidRPr="00A1583A" w:rsidRDefault="00A1583A" w:rsidP="00A1583A">
      <w:pPr>
        <w:pStyle w:val="BodyText"/>
        <w:numPr>
          <w:ilvl w:val="0"/>
          <w:numId w:val="13"/>
        </w:numPr>
        <w:spacing w:before="252"/>
        <w:ind w:right="144"/>
        <w:rPr>
          <w:b/>
          <w:bCs/>
          <w:u w:val="single"/>
        </w:rPr>
      </w:pPr>
      <w:r w:rsidRPr="00A1583A">
        <w:rPr>
          <w:b/>
          <w:bCs/>
          <w:u w:val="single"/>
        </w:rPr>
        <w:t>If a portfolio supports both VM-22 business and pre-PBR CARVM business, what requirements would help address concerns of intentionally allocating assets to achieve lower reserves?</w:t>
      </w:r>
    </w:p>
    <w:p w14:paraId="123E6ADC" w14:textId="77777777" w:rsidR="00A1583A" w:rsidRDefault="00A1583A" w:rsidP="00A1583A"/>
    <w:p w14:paraId="55D06B9F" w14:textId="5A9D5BE2" w:rsidR="00133B7F" w:rsidRDefault="001377A8" w:rsidP="00133B7F">
      <w:pPr>
        <w:ind w:left="1080"/>
      </w:pPr>
      <w:r>
        <w:t>Generally speaking, good risk management practices provide reasonable matching of asset and liability cash flows</w:t>
      </w:r>
      <w:r w:rsidR="00E44D56">
        <w:t xml:space="preserve">. </w:t>
      </w:r>
      <w:r>
        <w:t>When only a portion of the liability is under VM-22</w:t>
      </w:r>
      <w:r w:rsidR="00133B7F">
        <w:t>,</w:t>
      </w:r>
      <w:r>
        <w:t xml:space="preserve"> there is a need to segment the assets that are managed in aggregate for the full liability down to only the portion of the liability under VM-22</w:t>
      </w:r>
      <w:r w:rsidR="00E44D56">
        <w:t xml:space="preserve">. </w:t>
      </w:r>
      <w:r w:rsidR="00640BDF" w:rsidRPr="00640BDF">
        <w:t>To address concerns</w:t>
      </w:r>
      <w:r>
        <w:t xml:space="preserve"> for how the assets are segmented</w:t>
      </w:r>
      <w:r w:rsidR="00640BDF" w:rsidRPr="00640BDF">
        <w:t>, we suggest the following safeguards be considered:</w:t>
      </w:r>
    </w:p>
    <w:p w14:paraId="4F426A70" w14:textId="5D991BE8" w:rsidR="00DE1AF0" w:rsidRDefault="00DE1AF0" w:rsidP="00133B7F">
      <w:pPr>
        <w:numPr>
          <w:ilvl w:val="0"/>
          <w:numId w:val="17"/>
        </w:numPr>
      </w:pPr>
      <w:r>
        <w:t>A reconciliation of the asset portfolio should be provided with rationale that describes how assets are segmented across VM-22 and non-VM-22 business</w:t>
      </w:r>
      <w:r w:rsidR="00233389">
        <w:t xml:space="preserve">. </w:t>
      </w:r>
      <w:r>
        <w:t xml:space="preserve">Consistency with the allocation method and the company’s </w:t>
      </w:r>
      <w:r w:rsidR="00233389">
        <w:t>day-to-day</w:t>
      </w:r>
      <w:r>
        <w:t xml:space="preserve"> asset management should be explained</w:t>
      </w:r>
      <w:r w:rsidR="00233389">
        <w:t xml:space="preserve">. </w:t>
      </w:r>
    </w:p>
    <w:p w14:paraId="38AE027C" w14:textId="61DAD207" w:rsidR="00640BDF" w:rsidRPr="00640BDF" w:rsidRDefault="00640BDF" w:rsidP="00640BDF">
      <w:pPr>
        <w:numPr>
          <w:ilvl w:val="0"/>
          <w:numId w:val="17"/>
        </w:numPr>
      </w:pPr>
      <w:r w:rsidRPr="00640BDF">
        <w:t xml:space="preserve">Required alignment of asset allocation, including any approximation methods used for the setting of </w:t>
      </w:r>
      <w:r w:rsidR="00EE6F17">
        <w:t>non-guaranteed elements (</w:t>
      </w:r>
      <w:r w:rsidRPr="00640BDF">
        <w:t>NGEs</w:t>
      </w:r>
      <w:r w:rsidR="00EE6F17">
        <w:t>)</w:t>
      </w:r>
      <w:r w:rsidRPr="00640BDF">
        <w:t xml:space="preserve"> and the asset allocation, used for VM-22.</w:t>
      </w:r>
    </w:p>
    <w:p w14:paraId="06A22B23" w14:textId="77777777" w:rsidR="00640BDF" w:rsidRPr="00640BDF" w:rsidRDefault="00640BDF" w:rsidP="00640BDF">
      <w:pPr>
        <w:numPr>
          <w:ilvl w:val="0"/>
          <w:numId w:val="17"/>
        </w:numPr>
      </w:pPr>
      <w:r w:rsidRPr="00640BDF">
        <w:t>Enhance cash flow testing guidance, disclosures, and oversight to ensure that assets allocated for VM-22 are not counted elsewhere.</w:t>
      </w:r>
    </w:p>
    <w:p w14:paraId="165D9A43" w14:textId="57A0C451" w:rsidR="00640BDF" w:rsidRPr="00640BDF" w:rsidRDefault="00640BDF" w:rsidP="00640BDF">
      <w:pPr>
        <w:numPr>
          <w:ilvl w:val="0"/>
          <w:numId w:val="17"/>
        </w:numPr>
      </w:pPr>
      <w:r w:rsidRPr="00640BDF">
        <w:t>Descriptive statistics about the economic risk position of the relevant portion of the company’s General Account, using the company’s own methodology, demonstrating the appropriateness of assets selected for VM-22</w:t>
      </w:r>
      <w:r w:rsidR="00770590">
        <w:t>,</w:t>
      </w:r>
      <w:r w:rsidRPr="00640BDF">
        <w:t xml:space="preserve"> as well as similar measures to demonstrate the impact of any segregation on the residual balance sheet’s risk position</w:t>
      </w:r>
      <w:r w:rsidR="00233389" w:rsidRPr="00640BDF">
        <w:t xml:space="preserve">. </w:t>
      </w:r>
      <w:r w:rsidRPr="00640BDF">
        <w:t>Such details could include (for both allocated assets, in-scope liabilities, and the net</w:t>
      </w:r>
      <w:r w:rsidR="008939D8">
        <w:t xml:space="preserve"> of asset and liability outcomes</w:t>
      </w:r>
      <w:r w:rsidR="00016887">
        <w:t xml:space="preserve"> with d</w:t>
      </w:r>
      <w:r w:rsidR="00DE1AF0">
        <w:t xml:space="preserve">efinitions </w:t>
      </w:r>
      <w:proofErr w:type="spellStart"/>
      <w:r w:rsidR="00DE1AF0">
        <w:t>e</w:t>
      </w:r>
      <w:proofErr w:type="spellEnd"/>
      <w:r w:rsidR="00DE1AF0">
        <w:t xml:space="preserve"> clarified at a later date</w:t>
      </w:r>
      <w:r w:rsidRPr="00640BDF">
        <w:t>):</w:t>
      </w:r>
    </w:p>
    <w:p w14:paraId="1FF3A6D4" w14:textId="3DA0E17E" w:rsidR="00640BDF" w:rsidRPr="00640BDF" w:rsidRDefault="001377A8" w:rsidP="00640BDF">
      <w:pPr>
        <w:numPr>
          <w:ilvl w:val="1"/>
          <w:numId w:val="17"/>
        </w:numPr>
      </w:pPr>
      <w:r>
        <w:t>Liability and e</w:t>
      </w:r>
      <w:r w:rsidR="00640BDF" w:rsidRPr="00640BDF">
        <w:t xml:space="preserve">ffective </w:t>
      </w:r>
      <w:r>
        <w:t xml:space="preserve">asset </w:t>
      </w:r>
      <w:r w:rsidR="00640BDF" w:rsidRPr="00640BDF">
        <w:t>duration</w:t>
      </w:r>
      <w:r w:rsidR="00016887">
        <w:t>;</w:t>
      </w:r>
      <w:r w:rsidR="00640BDF" w:rsidRPr="00640BDF">
        <w:t xml:space="preserve"> </w:t>
      </w:r>
    </w:p>
    <w:p w14:paraId="6153C61D" w14:textId="0995D24C" w:rsidR="00640BDF" w:rsidRPr="00640BDF" w:rsidRDefault="00C47ABA" w:rsidP="00640BDF">
      <w:pPr>
        <w:numPr>
          <w:ilvl w:val="1"/>
          <w:numId w:val="17"/>
        </w:numPr>
      </w:pPr>
      <w:r>
        <w:t>Interest rate metrics</w:t>
      </w:r>
      <w:r w:rsidR="00016887">
        <w:t>;</w:t>
      </w:r>
    </w:p>
    <w:p w14:paraId="65E44217" w14:textId="21667DF6" w:rsidR="00640BDF" w:rsidRPr="00640BDF" w:rsidRDefault="00640BDF" w:rsidP="00640BDF">
      <w:pPr>
        <w:numPr>
          <w:ilvl w:val="1"/>
          <w:numId w:val="17"/>
        </w:numPr>
      </w:pPr>
      <w:r w:rsidRPr="00640BDF">
        <w:t>Market/Book value</w:t>
      </w:r>
      <w:r w:rsidR="00016887">
        <w:t>;</w:t>
      </w:r>
    </w:p>
    <w:p w14:paraId="00C85A5B" w14:textId="5B31CE26" w:rsidR="00640BDF" w:rsidRPr="00640BDF" w:rsidRDefault="00640BDF" w:rsidP="00640BDF">
      <w:pPr>
        <w:numPr>
          <w:ilvl w:val="1"/>
          <w:numId w:val="17"/>
        </w:numPr>
      </w:pPr>
      <w:r w:rsidRPr="00640BDF">
        <w:t>Market value by issue year or WAL</w:t>
      </w:r>
      <w:r w:rsidR="00016887">
        <w:t>;</w:t>
      </w:r>
    </w:p>
    <w:p w14:paraId="0831D8BA" w14:textId="2BFCE626" w:rsidR="00640BDF" w:rsidRPr="00640BDF" w:rsidRDefault="00640BDF" w:rsidP="001A43EE">
      <w:pPr>
        <w:numPr>
          <w:ilvl w:val="1"/>
          <w:numId w:val="17"/>
        </w:numPr>
      </w:pPr>
      <w:r w:rsidRPr="00640BDF">
        <w:t>Implied net spread (</w:t>
      </w:r>
      <w:r w:rsidR="00C47ABA">
        <w:t xml:space="preserve">e.g., </w:t>
      </w:r>
      <w:r w:rsidRPr="00640BDF">
        <w:t>yield relative to cost of funds)</w:t>
      </w:r>
      <w:r w:rsidR="00016887">
        <w:t>.</w:t>
      </w:r>
    </w:p>
    <w:p w14:paraId="1C630661" w14:textId="1AF13914" w:rsidR="00640BDF" w:rsidRPr="00640BDF" w:rsidRDefault="00640BDF" w:rsidP="00640BDF">
      <w:pPr>
        <w:numPr>
          <w:ilvl w:val="0"/>
          <w:numId w:val="17"/>
        </w:numPr>
      </w:pPr>
      <w:r w:rsidRPr="00640BDF">
        <w:t xml:space="preserve">A movement analysis of assets allocated to in-scope liabilities with any </w:t>
      </w:r>
      <w:r w:rsidR="001D4CC2" w:rsidRPr="00640BDF">
        <w:t>movement beyond</w:t>
      </w:r>
      <w:r w:rsidRPr="00640BDF">
        <w:t xml:space="preserve"> routine acquisition and disposition activity fully rationalized (and scrutinized by regulators)</w:t>
      </w:r>
      <w:r w:rsidR="00233389" w:rsidRPr="00640BDF">
        <w:t xml:space="preserve">. </w:t>
      </w:r>
    </w:p>
    <w:p w14:paraId="1DF86A7E" w14:textId="05ABA84B" w:rsidR="00640BDF" w:rsidRPr="00640BDF" w:rsidRDefault="00640BDF" w:rsidP="00640BDF">
      <w:pPr>
        <w:numPr>
          <w:ilvl w:val="0"/>
          <w:numId w:val="17"/>
        </w:numPr>
      </w:pPr>
      <w:r w:rsidRPr="00640BDF">
        <w:t xml:space="preserve">Stress </w:t>
      </w:r>
      <w:r w:rsidR="00233389" w:rsidRPr="00640BDF">
        <w:t>testing</w:t>
      </w:r>
      <w:r w:rsidRPr="00640BDF">
        <w:t xml:space="preserve"> alternative asset allocations such as a pro-rata slice of the company’s entire General Account or using a benchmark starting portfolio</w:t>
      </w:r>
    </w:p>
    <w:p w14:paraId="210FFBE6" w14:textId="77777777" w:rsidR="00640BDF" w:rsidRDefault="00640BDF" w:rsidP="00A1583A"/>
    <w:p w14:paraId="3A6D6813" w14:textId="696C6CD2" w:rsidR="00A1583A" w:rsidRPr="00A1583A" w:rsidRDefault="00A1583A" w:rsidP="00A1583A">
      <w:pPr>
        <w:pStyle w:val="BodyText"/>
        <w:numPr>
          <w:ilvl w:val="0"/>
          <w:numId w:val="13"/>
        </w:numPr>
        <w:spacing w:before="252"/>
        <w:ind w:right="144"/>
        <w:rPr>
          <w:b/>
          <w:bCs/>
          <w:u w:val="single"/>
        </w:rPr>
      </w:pPr>
      <w:r w:rsidRPr="00A1583A">
        <w:rPr>
          <w:b/>
          <w:bCs/>
          <w:u w:val="single"/>
        </w:rPr>
        <w:t>How can AG 53-type asset documentation be used in disclosures and evaluation criteria?</w:t>
      </w:r>
    </w:p>
    <w:p w14:paraId="619E5BE0" w14:textId="013DC6B7" w:rsidR="00A1583A" w:rsidRDefault="00A1583A" w:rsidP="00A1583A">
      <w:pPr>
        <w:pStyle w:val="BodyText"/>
        <w:spacing w:before="252"/>
        <w:ind w:right="144"/>
      </w:pPr>
      <w:r>
        <w:t>Since not all assets would necessarily be used to value the blocks under VM-22, a description of the assets used (e.g., using AG</w:t>
      </w:r>
      <w:r w:rsidR="007F2BA6">
        <w:t xml:space="preserve"> </w:t>
      </w:r>
      <w:r>
        <w:t xml:space="preserve">53 categories) along with their </w:t>
      </w:r>
      <w:r w:rsidR="007F2BA6">
        <w:t>n</w:t>
      </w:r>
      <w:r>
        <w:t xml:space="preserve">et </w:t>
      </w:r>
      <w:r w:rsidR="007F2BA6">
        <w:t>m</w:t>
      </w:r>
      <w:r>
        <w:t xml:space="preserve">arket </w:t>
      </w:r>
      <w:r w:rsidR="007F2BA6">
        <w:t>s</w:t>
      </w:r>
      <w:r>
        <w:t xml:space="preserve">pread and </w:t>
      </w:r>
      <w:r w:rsidR="007F2BA6">
        <w:t>g</w:t>
      </w:r>
      <w:r>
        <w:t xml:space="preserve">uideline </w:t>
      </w:r>
      <w:r w:rsidR="007F2BA6">
        <w:t>e</w:t>
      </w:r>
      <w:r>
        <w:t xml:space="preserve">xcess </w:t>
      </w:r>
      <w:r w:rsidR="007F2BA6">
        <w:t>s</w:t>
      </w:r>
      <w:r>
        <w:t>pread may be helpful</w:t>
      </w:r>
      <w:r w:rsidR="00233389">
        <w:t xml:space="preserve">. </w:t>
      </w:r>
      <w:r>
        <w:t>Assets not used in the evaluation can be similarly identified</w:t>
      </w:r>
      <w:r w:rsidR="00233389">
        <w:t xml:space="preserve">. </w:t>
      </w:r>
      <w:r>
        <w:t>An explanation of the decision process used to include or not include certain assets could also be helpful</w:t>
      </w:r>
      <w:r w:rsidR="00233389">
        <w:t xml:space="preserve">. </w:t>
      </w:r>
    </w:p>
    <w:p w14:paraId="34654CAD" w14:textId="39FD1BBE" w:rsidR="00A1583A" w:rsidRDefault="00A1583A" w:rsidP="00243173">
      <w:pPr>
        <w:pStyle w:val="BodyText"/>
        <w:spacing w:before="252"/>
        <w:ind w:right="144"/>
      </w:pPr>
      <w:r>
        <w:t>There may also be value in understanding how complex assets are valued and modeled</w:t>
      </w:r>
      <w:r w:rsidR="00233389">
        <w:t xml:space="preserve">. </w:t>
      </w:r>
      <w:r>
        <w:t xml:space="preserve">Descriptive information in this regard should help </w:t>
      </w:r>
      <w:r w:rsidR="00937EA7">
        <w:t>in</w:t>
      </w:r>
      <w:r>
        <w:t xml:space="preserve"> understand</w:t>
      </w:r>
      <w:r w:rsidR="00937EA7">
        <w:t>ing</w:t>
      </w:r>
      <w:r>
        <w:t xml:space="preserve"> the company’s thought process.</w:t>
      </w:r>
    </w:p>
    <w:p w14:paraId="5E669BA9" w14:textId="77777777" w:rsidR="009C684D" w:rsidRPr="009C684D" w:rsidRDefault="009C684D" w:rsidP="009C684D">
      <w:pPr>
        <w:pStyle w:val="BodyText"/>
        <w:numPr>
          <w:ilvl w:val="0"/>
          <w:numId w:val="13"/>
        </w:numPr>
        <w:spacing w:before="252"/>
        <w:ind w:right="144"/>
      </w:pPr>
      <w:r w:rsidRPr="009C684D">
        <w:rPr>
          <w:b/>
          <w:bCs/>
          <w:u w:val="single"/>
        </w:rPr>
        <w:t xml:space="preserve">When and how could the NAIC Valuation Analysis (E) Working Group be involved in the review process? </w:t>
      </w:r>
    </w:p>
    <w:p w14:paraId="75BAE4A7" w14:textId="33922758" w:rsidR="009C684D" w:rsidRDefault="009C684D" w:rsidP="00243173">
      <w:pPr>
        <w:pStyle w:val="BodyText"/>
        <w:spacing w:before="252"/>
        <w:ind w:right="144"/>
      </w:pPr>
      <w:r w:rsidRPr="009C684D">
        <w:t>ARCS does not have any specific comments or positions on how VAWG could be involved</w:t>
      </w:r>
      <w:r>
        <w:t>.</w:t>
      </w:r>
    </w:p>
    <w:p w14:paraId="37211F7C" w14:textId="69F43A7B" w:rsidR="00DA4620" w:rsidRPr="00DA4620" w:rsidRDefault="00454E05" w:rsidP="00DA4620">
      <w:pPr>
        <w:pStyle w:val="BodyText"/>
        <w:spacing w:before="252"/>
        <w:ind w:right="144"/>
      </w:pPr>
      <w:r>
        <w:t>We appreciate the opportunity to provide our feedback on the retrospective application exposure</w:t>
      </w:r>
      <w:r w:rsidR="00F76815">
        <w:t xml:space="preserve">. If you have any questions or would like to discuss these comments further, please </w:t>
      </w:r>
      <w:r w:rsidR="00DA4620" w:rsidRPr="00DA4620">
        <w:t xml:space="preserve">contact </w:t>
      </w:r>
      <w:r w:rsidR="00321DAD">
        <w:t xml:space="preserve">Marie Fabienne </w:t>
      </w:r>
      <w:r w:rsidR="00321DAD">
        <w:lastRenderedPageBreak/>
        <w:t>Amisial</w:t>
      </w:r>
      <w:r w:rsidR="00DA4620" w:rsidRPr="00DA4620">
        <w:t xml:space="preserve"> (</w:t>
      </w:r>
      <w:hyperlink r:id="rId10" w:history="1">
        <w:r w:rsidR="00321DAD" w:rsidRPr="00321DAD">
          <w:rPr>
            <w:rStyle w:val="Hyperlink"/>
          </w:rPr>
          <w:t>amisial</w:t>
        </w:r>
        <w:r w:rsidR="009C684D" w:rsidRPr="00321DAD">
          <w:rPr>
            <w:rStyle w:val="Hyperlink"/>
          </w:rPr>
          <w:t>@actuary.org</w:t>
        </w:r>
      </w:hyperlink>
      <w:r w:rsidR="00DA4620" w:rsidRPr="00DA4620">
        <w:t xml:space="preserve">), the </w:t>
      </w:r>
      <w:r w:rsidR="00E44D56">
        <w:t>Academy’s life</w:t>
      </w:r>
      <w:r w:rsidR="00321DAD">
        <w:t xml:space="preserve"> policy project manager</w:t>
      </w:r>
      <w:r w:rsidR="00DA4620" w:rsidRPr="00DA4620">
        <w:t>.</w:t>
      </w:r>
    </w:p>
    <w:p w14:paraId="7D790724" w14:textId="77777777" w:rsidR="00DA4620" w:rsidRPr="00DA4620" w:rsidRDefault="00DA4620" w:rsidP="00DA4620">
      <w:pPr>
        <w:pStyle w:val="BodyText"/>
        <w:spacing w:before="252"/>
        <w:ind w:right="144"/>
      </w:pPr>
    </w:p>
    <w:p w14:paraId="44CA56E6" w14:textId="5535D1A6" w:rsidR="00DA4620" w:rsidRPr="00DA4620" w:rsidRDefault="00DA4620" w:rsidP="00DA4620">
      <w:pPr>
        <w:pStyle w:val="BodyText"/>
        <w:ind w:right="144"/>
      </w:pPr>
      <w:r w:rsidRPr="00DA4620">
        <w:t>Sincerely,</w:t>
      </w:r>
    </w:p>
    <w:p w14:paraId="21748954" w14:textId="77777777" w:rsidR="00DA4620" w:rsidRPr="00DA4620" w:rsidRDefault="00DA4620" w:rsidP="00DA4620">
      <w:pPr>
        <w:pStyle w:val="BodyText"/>
        <w:ind w:right="144"/>
      </w:pPr>
      <w:r w:rsidRPr="00DA4620">
        <w:t>Bruce Friedland, MAAA, FSA</w:t>
      </w:r>
    </w:p>
    <w:p w14:paraId="0EC511D8" w14:textId="77777777" w:rsidR="00DA4620" w:rsidRPr="00DA4620" w:rsidRDefault="00DA4620" w:rsidP="00DA4620">
      <w:pPr>
        <w:pStyle w:val="BodyText"/>
        <w:ind w:right="144"/>
      </w:pPr>
      <w:r w:rsidRPr="00DA4620">
        <w:t>Chairperson, Annuity Reserves and Capital Subcommittee</w:t>
      </w:r>
    </w:p>
    <w:p w14:paraId="5ED6DE7A" w14:textId="08865AE9" w:rsidR="004A0858" w:rsidRDefault="004A0858" w:rsidP="00AA22AA">
      <w:pPr>
        <w:pStyle w:val="BodyText"/>
        <w:ind w:right="144"/>
      </w:pPr>
      <w:bookmarkStart w:id="0" w:name="_bookmark0"/>
      <w:bookmarkEnd w:id="0"/>
    </w:p>
    <w:sectPr w:rsidR="004A0858">
      <w:headerReference w:type="default" r:id="rId11"/>
      <w:footerReference w:type="default" r:id="rId12"/>
      <w:pgSz w:w="12240" w:h="15840"/>
      <w:pgMar w:top="1340" w:right="1320" w:bottom="1080" w:left="1320" w:header="763"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0C2B" w14:textId="77777777" w:rsidR="00323996" w:rsidRDefault="00323996">
      <w:r>
        <w:separator/>
      </w:r>
    </w:p>
  </w:endnote>
  <w:endnote w:type="continuationSeparator" w:id="0">
    <w:p w14:paraId="7101BFA8" w14:textId="77777777" w:rsidR="00323996" w:rsidRDefault="0032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5C5A" w14:textId="77777777" w:rsidR="004A0858" w:rsidRDefault="00AB6BC4">
    <w:pPr>
      <w:pStyle w:val="BodyText"/>
      <w:spacing w:line="14" w:lineRule="auto"/>
      <w:rPr>
        <w:sz w:val="20"/>
      </w:rPr>
    </w:pPr>
    <w:r>
      <w:rPr>
        <w:noProof/>
      </w:rPr>
      <mc:AlternateContent>
        <mc:Choice Requires="wps">
          <w:drawing>
            <wp:anchor distT="0" distB="0" distL="0" distR="0" simplePos="0" relativeHeight="487544320" behindDoc="1" locked="0" layoutInCell="1" allowOverlap="1" wp14:anchorId="7539F1AE" wp14:editId="6F586B4A">
              <wp:simplePos x="0" y="0"/>
              <wp:positionH relativeFrom="margin">
                <wp:align>center</wp:align>
              </wp:positionH>
              <wp:positionV relativeFrom="page">
                <wp:posOffset>9455150</wp:posOffset>
              </wp:positionV>
              <wp:extent cx="58540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065" cy="152400"/>
                      </a:xfrm>
                      <a:prstGeom prst="rect">
                        <a:avLst/>
                      </a:prstGeom>
                    </wps:spPr>
                    <wps:txbx>
                      <w:txbxContent>
                        <w:p w14:paraId="646A37E4" w14:textId="77777777" w:rsidR="004A0858" w:rsidRDefault="00AB6BC4">
                          <w:pPr>
                            <w:spacing w:before="12"/>
                            <w:ind w:left="20"/>
                            <w:rPr>
                              <w:sz w:val="18"/>
                            </w:rPr>
                          </w:pPr>
                          <w:r>
                            <w:rPr>
                              <w:sz w:val="18"/>
                            </w:rPr>
                            <w:t>1850</w:t>
                          </w:r>
                          <w:r>
                            <w:rPr>
                              <w:spacing w:val="-3"/>
                              <w:sz w:val="18"/>
                            </w:rPr>
                            <w:t xml:space="preserve"> </w:t>
                          </w:r>
                          <w:r>
                            <w:rPr>
                              <w:sz w:val="18"/>
                            </w:rPr>
                            <w:t>M Street</w:t>
                          </w:r>
                          <w:r>
                            <w:rPr>
                              <w:spacing w:val="-1"/>
                              <w:sz w:val="18"/>
                            </w:rPr>
                            <w:t xml:space="preserve"> </w:t>
                          </w:r>
                          <w:r>
                            <w:rPr>
                              <w:sz w:val="18"/>
                            </w:rPr>
                            <w:t>NW</w:t>
                          </w:r>
                          <w:r>
                            <w:rPr>
                              <w:spacing w:val="-3"/>
                              <w:sz w:val="18"/>
                            </w:rPr>
                            <w:t xml:space="preserve"> </w:t>
                          </w:r>
                          <w:r>
                            <w:rPr>
                              <w:sz w:val="18"/>
                            </w:rPr>
                            <w:t>Suite</w:t>
                          </w:r>
                          <w:r>
                            <w:rPr>
                              <w:spacing w:val="-4"/>
                              <w:sz w:val="18"/>
                            </w:rPr>
                            <w:t xml:space="preserve"> </w:t>
                          </w:r>
                          <w:r>
                            <w:rPr>
                              <w:sz w:val="18"/>
                            </w:rPr>
                            <w:t>300 Washington, DC</w:t>
                          </w:r>
                          <w:r>
                            <w:rPr>
                              <w:spacing w:val="-3"/>
                              <w:sz w:val="18"/>
                            </w:rPr>
                            <w:t xml:space="preserve"> </w:t>
                          </w:r>
                          <w:r>
                            <w:rPr>
                              <w:sz w:val="18"/>
                            </w:rPr>
                            <w:t>20036</w:t>
                          </w:r>
                          <w:r>
                            <w:rPr>
                              <w:spacing w:val="67"/>
                              <w:w w:val="150"/>
                              <w:sz w:val="18"/>
                            </w:rPr>
                            <w:t xml:space="preserve"> </w:t>
                          </w:r>
                          <w:r>
                            <w:rPr>
                              <w:sz w:val="18"/>
                            </w:rPr>
                            <w:t>|</w:t>
                          </w:r>
                          <w:r>
                            <w:rPr>
                              <w:spacing w:val="62"/>
                              <w:w w:val="150"/>
                              <w:sz w:val="18"/>
                            </w:rPr>
                            <w:t xml:space="preserve"> </w:t>
                          </w:r>
                          <w:r>
                            <w:rPr>
                              <w:sz w:val="18"/>
                            </w:rPr>
                            <w:t>Telephone</w:t>
                          </w:r>
                          <w:r>
                            <w:rPr>
                              <w:spacing w:val="-2"/>
                              <w:sz w:val="18"/>
                            </w:rPr>
                            <w:t xml:space="preserve"> </w:t>
                          </w:r>
                          <w:r>
                            <w:rPr>
                              <w:sz w:val="18"/>
                            </w:rPr>
                            <w:t>202-223-8196</w:t>
                          </w:r>
                          <w:r>
                            <w:rPr>
                              <w:spacing w:val="64"/>
                              <w:w w:val="150"/>
                              <w:sz w:val="18"/>
                            </w:rPr>
                            <w:t xml:space="preserve"> </w:t>
                          </w:r>
                          <w:r>
                            <w:rPr>
                              <w:sz w:val="18"/>
                            </w:rPr>
                            <w:t>|</w:t>
                          </w:r>
                          <w:r>
                            <w:rPr>
                              <w:spacing w:val="64"/>
                              <w:w w:val="150"/>
                              <w:sz w:val="18"/>
                            </w:rPr>
                            <w:t xml:space="preserve"> </w:t>
                          </w:r>
                          <w:r>
                            <w:rPr>
                              <w:sz w:val="18"/>
                            </w:rPr>
                            <w:t>Facsimile</w:t>
                          </w:r>
                          <w:r>
                            <w:rPr>
                              <w:spacing w:val="-2"/>
                              <w:sz w:val="18"/>
                            </w:rPr>
                            <w:t xml:space="preserve"> </w:t>
                          </w:r>
                          <w:r>
                            <w:rPr>
                              <w:sz w:val="18"/>
                            </w:rPr>
                            <w:t>202-872-1948</w:t>
                          </w:r>
                          <w:r>
                            <w:rPr>
                              <w:spacing w:val="64"/>
                              <w:w w:val="150"/>
                              <w:sz w:val="18"/>
                            </w:rPr>
                            <w:t xml:space="preserve"> </w:t>
                          </w:r>
                          <w:r>
                            <w:rPr>
                              <w:sz w:val="18"/>
                            </w:rPr>
                            <w:t>|</w:t>
                          </w:r>
                          <w:r>
                            <w:rPr>
                              <w:spacing w:val="64"/>
                              <w:w w:val="150"/>
                              <w:sz w:val="18"/>
                            </w:rPr>
                            <w:t xml:space="preserve"> </w:t>
                          </w:r>
                          <w:r>
                            <w:rPr>
                              <w:spacing w:val="-2"/>
                              <w:sz w:val="18"/>
                            </w:rPr>
                            <w:t>actuary.org</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7539F1AE">
              <v:stroke joinstyle="miter"/>
              <v:path gradientshapeok="t" o:connecttype="rect"/>
            </v:shapetype>
            <v:shape id="Textbox 2" style="position:absolute;margin-left:0;margin-top:744.5pt;width:460.95pt;height:12pt;z-index:-15772160;visibility:visible;mso-wrap-style:square;mso-wrap-distance-left:0;mso-wrap-distance-top:0;mso-wrap-distance-right:0;mso-wrap-distance-bottom:0;mso-position-horizontal:center;mso-position-horizontal-relative:margin;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">
              <v:textbox inset="0,0,0,0">
                <w:txbxContent>
                  <w:p w:rsidR="004A0858" w:rsidRDefault="00AB6BC4" w14:paraId="646A37E4" w14:textId="77777777">
                    <w:pPr>
                      <w:spacing w:before="12"/>
                      <w:ind w:left="20"/>
                      <w:rPr>
                        <w:sz w:val="18"/>
                      </w:rPr>
                    </w:pPr>
                    <w:r>
                      <w:rPr>
                        <w:sz w:val="18"/>
                      </w:rPr>
                      <w:t>1850</w:t>
                    </w:r>
                    <w:r>
                      <w:rPr>
                        <w:spacing w:val="-3"/>
                        <w:sz w:val="18"/>
                      </w:rPr>
                      <w:t xml:space="preserve"> </w:t>
                    </w:r>
                    <w:r>
                      <w:rPr>
                        <w:sz w:val="18"/>
                      </w:rPr>
                      <w:t>M Street</w:t>
                    </w:r>
                    <w:r>
                      <w:rPr>
                        <w:spacing w:val="-1"/>
                        <w:sz w:val="18"/>
                      </w:rPr>
                      <w:t xml:space="preserve"> </w:t>
                    </w:r>
                    <w:r>
                      <w:rPr>
                        <w:sz w:val="18"/>
                      </w:rPr>
                      <w:t>NW</w:t>
                    </w:r>
                    <w:r>
                      <w:rPr>
                        <w:spacing w:val="-3"/>
                        <w:sz w:val="18"/>
                      </w:rPr>
                      <w:t xml:space="preserve"> </w:t>
                    </w:r>
                    <w:r>
                      <w:rPr>
                        <w:sz w:val="18"/>
                      </w:rPr>
                      <w:t>Suite</w:t>
                    </w:r>
                    <w:r>
                      <w:rPr>
                        <w:spacing w:val="-4"/>
                        <w:sz w:val="18"/>
                      </w:rPr>
                      <w:t xml:space="preserve"> </w:t>
                    </w:r>
                    <w:r>
                      <w:rPr>
                        <w:sz w:val="18"/>
                      </w:rPr>
                      <w:t>300 Washington, DC</w:t>
                    </w:r>
                    <w:r>
                      <w:rPr>
                        <w:spacing w:val="-3"/>
                        <w:sz w:val="18"/>
                      </w:rPr>
                      <w:t xml:space="preserve"> </w:t>
                    </w:r>
                    <w:r>
                      <w:rPr>
                        <w:sz w:val="18"/>
                      </w:rPr>
                      <w:t>20036</w:t>
                    </w:r>
                    <w:r>
                      <w:rPr>
                        <w:spacing w:val="67"/>
                        <w:w w:val="150"/>
                        <w:sz w:val="18"/>
                      </w:rPr>
                      <w:t xml:space="preserve"> </w:t>
                    </w:r>
                    <w:r>
                      <w:rPr>
                        <w:sz w:val="18"/>
                      </w:rPr>
                      <w:t>|</w:t>
                    </w:r>
                    <w:r>
                      <w:rPr>
                        <w:spacing w:val="62"/>
                        <w:w w:val="150"/>
                        <w:sz w:val="18"/>
                      </w:rPr>
                      <w:t xml:space="preserve"> </w:t>
                    </w:r>
                    <w:r>
                      <w:rPr>
                        <w:sz w:val="18"/>
                      </w:rPr>
                      <w:t>Telephone</w:t>
                    </w:r>
                    <w:r>
                      <w:rPr>
                        <w:spacing w:val="-2"/>
                        <w:sz w:val="18"/>
                      </w:rPr>
                      <w:t xml:space="preserve"> </w:t>
                    </w:r>
                    <w:r>
                      <w:rPr>
                        <w:sz w:val="18"/>
                      </w:rPr>
                      <w:t>202-223-8196</w:t>
                    </w:r>
                    <w:r>
                      <w:rPr>
                        <w:spacing w:val="64"/>
                        <w:w w:val="150"/>
                        <w:sz w:val="18"/>
                      </w:rPr>
                      <w:t xml:space="preserve"> </w:t>
                    </w:r>
                    <w:r>
                      <w:rPr>
                        <w:sz w:val="18"/>
                      </w:rPr>
                      <w:t>|</w:t>
                    </w:r>
                    <w:r>
                      <w:rPr>
                        <w:spacing w:val="64"/>
                        <w:w w:val="150"/>
                        <w:sz w:val="18"/>
                      </w:rPr>
                      <w:t xml:space="preserve"> </w:t>
                    </w:r>
                    <w:r>
                      <w:rPr>
                        <w:sz w:val="18"/>
                      </w:rPr>
                      <w:t>Facsimile</w:t>
                    </w:r>
                    <w:r>
                      <w:rPr>
                        <w:spacing w:val="-2"/>
                        <w:sz w:val="18"/>
                      </w:rPr>
                      <w:t xml:space="preserve"> </w:t>
                    </w:r>
                    <w:r>
                      <w:rPr>
                        <w:sz w:val="18"/>
                      </w:rPr>
                      <w:t>202-872-1948</w:t>
                    </w:r>
                    <w:r>
                      <w:rPr>
                        <w:spacing w:val="64"/>
                        <w:w w:val="150"/>
                        <w:sz w:val="18"/>
                      </w:rPr>
                      <w:t xml:space="preserve"> </w:t>
                    </w:r>
                    <w:r>
                      <w:rPr>
                        <w:sz w:val="18"/>
                      </w:rPr>
                      <w:t>|</w:t>
                    </w:r>
                    <w:r>
                      <w:rPr>
                        <w:spacing w:val="64"/>
                        <w:w w:val="150"/>
                        <w:sz w:val="18"/>
                      </w:rPr>
                      <w:t xml:space="preserve"> </w:t>
                    </w:r>
                    <w:r>
                      <w:rPr>
                        <w:spacing w:val="-2"/>
                        <w:sz w:val="18"/>
                      </w:rPr>
                      <w:t>actuary.org</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F087" w14:textId="77777777" w:rsidR="00323996" w:rsidRDefault="00323996">
      <w:r>
        <w:separator/>
      </w:r>
    </w:p>
  </w:footnote>
  <w:footnote w:type="continuationSeparator" w:id="0">
    <w:p w14:paraId="1E7543E9" w14:textId="77777777" w:rsidR="00323996" w:rsidRDefault="00323996">
      <w:r>
        <w:continuationSeparator/>
      </w:r>
    </w:p>
  </w:footnote>
  <w:footnote w:id="1">
    <w:p w14:paraId="22DDB63D" w14:textId="597468E8" w:rsidR="00DA4620" w:rsidRPr="00E44D56" w:rsidRDefault="00DA4620" w:rsidP="00DA4620">
      <w:pPr>
        <w:pStyle w:val="FootnoteText"/>
        <w:rPr>
          <w:rFonts w:ascii="Times New Roman" w:hAnsi="Times New Roman" w:cs="Times New Roman"/>
          <w:sz w:val="15"/>
          <w:szCs w:val="15"/>
        </w:rPr>
      </w:pPr>
      <w:r w:rsidRPr="00E44D56">
        <w:rPr>
          <w:rStyle w:val="FootnoteReference"/>
          <w:rFonts w:ascii="Times New Roman" w:hAnsi="Times New Roman" w:cs="Times New Roman"/>
          <w:sz w:val="15"/>
          <w:szCs w:val="15"/>
        </w:rPr>
        <w:footnoteRef/>
      </w:r>
      <w:r w:rsidRPr="00E44D56">
        <w:rPr>
          <w:rFonts w:ascii="Times New Roman" w:hAnsi="Times New Roman" w:cs="Times New Roman"/>
          <w:sz w:val="15"/>
          <w:szCs w:val="15"/>
        </w:rPr>
        <w:t xml:space="preserve"> The American Academy of Actuaries is a 20,000</w:t>
      </w:r>
      <w:r w:rsidR="005D4C30">
        <w:rPr>
          <w:rFonts w:ascii="Times New Roman" w:hAnsi="Times New Roman" w:cs="Times New Roman"/>
          <w:sz w:val="15"/>
          <w:szCs w:val="15"/>
        </w:rPr>
        <w:t xml:space="preserve">-plus </w:t>
      </w:r>
      <w:r w:rsidRPr="00E44D56">
        <w:rPr>
          <w:rFonts w:ascii="Times New Roman" w:hAnsi="Times New Roman" w:cs="Times New Roman"/>
          <w:sz w:val="15"/>
          <w:szCs w:val="15"/>
        </w:rPr>
        <w:t>member professional association whose mission is to serve the public and the U.S. actuarial profession. For 60 years, the Academy has assisted public policymakers on all levels by providing leadership, objective expertise, and actuarial advice on risk and financial security issues. The Academy also sets qualification, practice, and professionalism standards for actuaries in the United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86C3" w14:textId="77777777" w:rsidR="004A0858" w:rsidRDefault="00AB6BC4">
    <w:pPr>
      <w:pStyle w:val="BodyText"/>
      <w:spacing w:line="14" w:lineRule="auto"/>
      <w:rPr>
        <w:sz w:val="20"/>
      </w:rPr>
    </w:pPr>
    <w:r>
      <w:rPr>
        <w:noProof/>
      </w:rPr>
      <mc:AlternateContent>
        <mc:Choice Requires="wps">
          <w:drawing>
            <wp:anchor distT="0" distB="0" distL="0" distR="0" simplePos="0" relativeHeight="487543808" behindDoc="1" locked="0" layoutInCell="1" allowOverlap="1" wp14:anchorId="500C9D67" wp14:editId="0EFF5A5A">
              <wp:simplePos x="0" y="0"/>
              <wp:positionH relativeFrom="page">
                <wp:posOffset>6749795</wp:posOffset>
              </wp:positionH>
              <wp:positionV relativeFrom="page">
                <wp:posOffset>471931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2053CDC" w14:textId="77777777" w:rsidR="004A0858" w:rsidRDefault="00AB6BC4">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00C9D67">
              <v:stroke joinstyle="miter"/>
              <v:path gradientshapeok="t" o:connecttype="rect"/>
            </v:shapetype>
            <v:shape id="Textbox 1" style="position:absolute;margin-left:531.5pt;margin-top:37.15pt;width:12.6pt;height:13.05pt;z-index:-1577267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">
              <v:textbox inset="0,0,0,0">
                <w:txbxContent>
                  <w:p w:rsidR="004A0858" w:rsidRDefault="00AB6BC4" w14:paraId="62053CDC"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081"/>
    <w:multiLevelType w:val="hybridMultilevel"/>
    <w:tmpl w:val="4322C7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3B7437"/>
    <w:multiLevelType w:val="hybridMultilevel"/>
    <w:tmpl w:val="41A856B8"/>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0F624522"/>
    <w:multiLevelType w:val="hybridMultilevel"/>
    <w:tmpl w:val="11F2D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447A7"/>
    <w:multiLevelType w:val="hybridMultilevel"/>
    <w:tmpl w:val="0CDE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548B4"/>
    <w:multiLevelType w:val="multilevel"/>
    <w:tmpl w:val="DD9C4A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F2539E8"/>
    <w:multiLevelType w:val="hybridMultilevel"/>
    <w:tmpl w:val="D48C7DBA"/>
    <w:lvl w:ilvl="0" w:tplc="406A9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86486"/>
    <w:multiLevelType w:val="multilevel"/>
    <w:tmpl w:val="C6D0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F412C"/>
    <w:multiLevelType w:val="hybridMultilevel"/>
    <w:tmpl w:val="D6F6316A"/>
    <w:lvl w:ilvl="0" w:tplc="14845410">
      <w:start w:val="1"/>
      <w:numFmt w:val="lowerLetter"/>
      <w:lvlText w:val="%1.)"/>
      <w:lvlJc w:val="left"/>
      <w:pPr>
        <w:ind w:left="84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5FBADC6A">
      <w:start w:val="1"/>
      <w:numFmt w:val="lowerRoman"/>
      <w:lvlText w:val="%2."/>
      <w:lvlJc w:val="left"/>
      <w:pPr>
        <w:ind w:left="1560"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70B67524">
      <w:numFmt w:val="bullet"/>
      <w:lvlText w:val="•"/>
      <w:lvlJc w:val="left"/>
      <w:pPr>
        <w:ind w:left="2453" w:hanging="476"/>
      </w:pPr>
      <w:rPr>
        <w:rFonts w:hint="default"/>
        <w:lang w:val="en-US" w:eastAsia="en-US" w:bidi="ar-SA"/>
      </w:rPr>
    </w:lvl>
    <w:lvl w:ilvl="3" w:tplc="85B29768">
      <w:numFmt w:val="bullet"/>
      <w:lvlText w:val="•"/>
      <w:lvlJc w:val="left"/>
      <w:pPr>
        <w:ind w:left="3346" w:hanging="476"/>
      </w:pPr>
      <w:rPr>
        <w:rFonts w:hint="default"/>
        <w:lang w:val="en-US" w:eastAsia="en-US" w:bidi="ar-SA"/>
      </w:rPr>
    </w:lvl>
    <w:lvl w:ilvl="4" w:tplc="0338D34E">
      <w:numFmt w:val="bullet"/>
      <w:lvlText w:val="•"/>
      <w:lvlJc w:val="left"/>
      <w:pPr>
        <w:ind w:left="4240" w:hanging="476"/>
      </w:pPr>
      <w:rPr>
        <w:rFonts w:hint="default"/>
        <w:lang w:val="en-US" w:eastAsia="en-US" w:bidi="ar-SA"/>
      </w:rPr>
    </w:lvl>
    <w:lvl w:ilvl="5" w:tplc="E88833E4">
      <w:numFmt w:val="bullet"/>
      <w:lvlText w:val="•"/>
      <w:lvlJc w:val="left"/>
      <w:pPr>
        <w:ind w:left="5133" w:hanging="476"/>
      </w:pPr>
      <w:rPr>
        <w:rFonts w:hint="default"/>
        <w:lang w:val="en-US" w:eastAsia="en-US" w:bidi="ar-SA"/>
      </w:rPr>
    </w:lvl>
    <w:lvl w:ilvl="6" w:tplc="FD5417F0">
      <w:numFmt w:val="bullet"/>
      <w:lvlText w:val="•"/>
      <w:lvlJc w:val="left"/>
      <w:pPr>
        <w:ind w:left="6026" w:hanging="476"/>
      </w:pPr>
      <w:rPr>
        <w:rFonts w:hint="default"/>
        <w:lang w:val="en-US" w:eastAsia="en-US" w:bidi="ar-SA"/>
      </w:rPr>
    </w:lvl>
    <w:lvl w:ilvl="7" w:tplc="A6F6CCAA">
      <w:numFmt w:val="bullet"/>
      <w:lvlText w:val="•"/>
      <w:lvlJc w:val="left"/>
      <w:pPr>
        <w:ind w:left="6920" w:hanging="476"/>
      </w:pPr>
      <w:rPr>
        <w:rFonts w:hint="default"/>
        <w:lang w:val="en-US" w:eastAsia="en-US" w:bidi="ar-SA"/>
      </w:rPr>
    </w:lvl>
    <w:lvl w:ilvl="8" w:tplc="1444BC3C">
      <w:numFmt w:val="bullet"/>
      <w:lvlText w:val="•"/>
      <w:lvlJc w:val="left"/>
      <w:pPr>
        <w:ind w:left="7813" w:hanging="476"/>
      </w:pPr>
      <w:rPr>
        <w:rFonts w:hint="default"/>
        <w:lang w:val="en-US" w:eastAsia="en-US" w:bidi="ar-SA"/>
      </w:rPr>
    </w:lvl>
  </w:abstractNum>
  <w:abstractNum w:abstractNumId="8" w15:restartNumberingAfterBreak="0">
    <w:nsid w:val="551D7DF3"/>
    <w:multiLevelType w:val="multilevel"/>
    <w:tmpl w:val="C6D0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F5AC1"/>
    <w:multiLevelType w:val="multilevel"/>
    <w:tmpl w:val="C6D0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636150"/>
    <w:multiLevelType w:val="hybridMultilevel"/>
    <w:tmpl w:val="AF1AE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31B4C90"/>
    <w:multiLevelType w:val="hybridMultilevel"/>
    <w:tmpl w:val="D1EA79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A3C416B"/>
    <w:multiLevelType w:val="hybridMultilevel"/>
    <w:tmpl w:val="F87AF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3B2C50"/>
    <w:multiLevelType w:val="multilevel"/>
    <w:tmpl w:val="7BAE26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6D814DC7"/>
    <w:multiLevelType w:val="multilevel"/>
    <w:tmpl w:val="FEA0D96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E271C40"/>
    <w:multiLevelType w:val="hybridMultilevel"/>
    <w:tmpl w:val="FA74D9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0274CDE"/>
    <w:multiLevelType w:val="hybridMultilevel"/>
    <w:tmpl w:val="43684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169E0"/>
    <w:multiLevelType w:val="hybridMultilevel"/>
    <w:tmpl w:val="54A25AC0"/>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4860" w:hanging="360"/>
      </w:pPr>
      <w:rPr>
        <w:rFonts w:ascii="Wingdings" w:hAnsi="Wingdings" w:hint="default"/>
      </w:rPr>
    </w:lvl>
    <w:lvl w:ilvl="3" w:tplc="0409000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8" w15:restartNumberingAfterBreak="0">
    <w:nsid w:val="798E0072"/>
    <w:multiLevelType w:val="hybridMultilevel"/>
    <w:tmpl w:val="9D82FF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F57EC6"/>
    <w:multiLevelType w:val="hybridMultilevel"/>
    <w:tmpl w:val="6B8A1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7516EA"/>
    <w:multiLevelType w:val="hybridMultilevel"/>
    <w:tmpl w:val="2B18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79553">
    <w:abstractNumId w:val="7"/>
  </w:num>
  <w:num w:numId="2" w16cid:durableId="1248029585">
    <w:abstractNumId w:val="17"/>
  </w:num>
  <w:num w:numId="3" w16cid:durableId="1737897710">
    <w:abstractNumId w:val="1"/>
  </w:num>
  <w:num w:numId="4" w16cid:durableId="32662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8527281">
    <w:abstractNumId w:val="19"/>
  </w:num>
  <w:num w:numId="6" w16cid:durableId="664358343">
    <w:abstractNumId w:val="5"/>
  </w:num>
  <w:num w:numId="7" w16cid:durableId="1556045814">
    <w:abstractNumId w:val="3"/>
  </w:num>
  <w:num w:numId="8" w16cid:durableId="1829519870">
    <w:abstractNumId w:val="16"/>
  </w:num>
  <w:num w:numId="9" w16cid:durableId="702247987">
    <w:abstractNumId w:val="2"/>
  </w:num>
  <w:num w:numId="10" w16cid:durableId="1854801754">
    <w:abstractNumId w:val="13"/>
  </w:num>
  <w:num w:numId="11" w16cid:durableId="1128469741">
    <w:abstractNumId w:val="4"/>
  </w:num>
  <w:num w:numId="12" w16cid:durableId="694817163">
    <w:abstractNumId w:val="14"/>
  </w:num>
  <w:num w:numId="13" w16cid:durableId="1830513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0519698">
    <w:abstractNumId w:val="8"/>
  </w:num>
  <w:num w:numId="15" w16cid:durableId="685014752">
    <w:abstractNumId w:val="9"/>
  </w:num>
  <w:num w:numId="16" w16cid:durableId="1499031273">
    <w:abstractNumId w:val="6"/>
  </w:num>
  <w:num w:numId="17" w16cid:durableId="1636179691">
    <w:abstractNumId w:val="15"/>
  </w:num>
  <w:num w:numId="18" w16cid:durableId="1990864161">
    <w:abstractNumId w:val="12"/>
  </w:num>
  <w:num w:numId="19" w16cid:durableId="541867924">
    <w:abstractNumId w:val="0"/>
  </w:num>
  <w:num w:numId="20" w16cid:durableId="742526979">
    <w:abstractNumId w:val="11"/>
  </w:num>
  <w:num w:numId="21" w16cid:durableId="1368021417">
    <w:abstractNumId w:val="18"/>
  </w:num>
  <w:num w:numId="22" w16cid:durableId="856581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58"/>
    <w:rsid w:val="000031CB"/>
    <w:rsid w:val="00005808"/>
    <w:rsid w:val="00011516"/>
    <w:rsid w:val="00012DED"/>
    <w:rsid w:val="00016887"/>
    <w:rsid w:val="0002413A"/>
    <w:rsid w:val="00025FE7"/>
    <w:rsid w:val="000304B7"/>
    <w:rsid w:val="00031857"/>
    <w:rsid w:val="000330BD"/>
    <w:rsid w:val="0003519F"/>
    <w:rsid w:val="000362DE"/>
    <w:rsid w:val="000367A5"/>
    <w:rsid w:val="000403BD"/>
    <w:rsid w:val="000464CE"/>
    <w:rsid w:val="000512BC"/>
    <w:rsid w:val="000539B2"/>
    <w:rsid w:val="00054230"/>
    <w:rsid w:val="000569B6"/>
    <w:rsid w:val="00056FFB"/>
    <w:rsid w:val="00061B93"/>
    <w:rsid w:val="000653FA"/>
    <w:rsid w:val="0006755F"/>
    <w:rsid w:val="00071E43"/>
    <w:rsid w:val="000763D4"/>
    <w:rsid w:val="00077D9F"/>
    <w:rsid w:val="00081C23"/>
    <w:rsid w:val="00087157"/>
    <w:rsid w:val="000903FB"/>
    <w:rsid w:val="00091B6B"/>
    <w:rsid w:val="000A7E3D"/>
    <w:rsid w:val="000B3755"/>
    <w:rsid w:val="000B3789"/>
    <w:rsid w:val="000B3EC9"/>
    <w:rsid w:val="000C2169"/>
    <w:rsid w:val="000C26EA"/>
    <w:rsid w:val="000D55AE"/>
    <w:rsid w:val="000F0C64"/>
    <w:rsid w:val="000F110A"/>
    <w:rsid w:val="000F3A46"/>
    <w:rsid w:val="0010303C"/>
    <w:rsid w:val="00103E93"/>
    <w:rsid w:val="00106996"/>
    <w:rsid w:val="00107540"/>
    <w:rsid w:val="001151F5"/>
    <w:rsid w:val="00115339"/>
    <w:rsid w:val="00117C2A"/>
    <w:rsid w:val="00123275"/>
    <w:rsid w:val="00130023"/>
    <w:rsid w:val="00130345"/>
    <w:rsid w:val="00133B7F"/>
    <w:rsid w:val="00134A0E"/>
    <w:rsid w:val="001362B5"/>
    <w:rsid w:val="001377A8"/>
    <w:rsid w:val="00140CB3"/>
    <w:rsid w:val="00154021"/>
    <w:rsid w:val="00160915"/>
    <w:rsid w:val="001611EB"/>
    <w:rsid w:val="00162F9B"/>
    <w:rsid w:val="00163562"/>
    <w:rsid w:val="00163934"/>
    <w:rsid w:val="00171D27"/>
    <w:rsid w:val="00174DE1"/>
    <w:rsid w:val="00183127"/>
    <w:rsid w:val="00183B3C"/>
    <w:rsid w:val="00184B5F"/>
    <w:rsid w:val="001854FE"/>
    <w:rsid w:val="00186478"/>
    <w:rsid w:val="00195835"/>
    <w:rsid w:val="001A43EE"/>
    <w:rsid w:val="001A75A0"/>
    <w:rsid w:val="001A7C4D"/>
    <w:rsid w:val="001B37FE"/>
    <w:rsid w:val="001B42B4"/>
    <w:rsid w:val="001C2F06"/>
    <w:rsid w:val="001D1CA9"/>
    <w:rsid w:val="001D26F4"/>
    <w:rsid w:val="001D4CC2"/>
    <w:rsid w:val="001F29AA"/>
    <w:rsid w:val="001F52DE"/>
    <w:rsid w:val="002034C3"/>
    <w:rsid w:val="00211642"/>
    <w:rsid w:val="00220587"/>
    <w:rsid w:val="002214A0"/>
    <w:rsid w:val="00222504"/>
    <w:rsid w:val="00222EB9"/>
    <w:rsid w:val="00230E3F"/>
    <w:rsid w:val="00232D66"/>
    <w:rsid w:val="00233389"/>
    <w:rsid w:val="00234FCF"/>
    <w:rsid w:val="00235A8C"/>
    <w:rsid w:val="00236E09"/>
    <w:rsid w:val="00243173"/>
    <w:rsid w:val="00245D94"/>
    <w:rsid w:val="00250789"/>
    <w:rsid w:val="002621B9"/>
    <w:rsid w:val="00276676"/>
    <w:rsid w:val="00282B51"/>
    <w:rsid w:val="00284AE4"/>
    <w:rsid w:val="00285139"/>
    <w:rsid w:val="0029455F"/>
    <w:rsid w:val="00296E35"/>
    <w:rsid w:val="002A2E14"/>
    <w:rsid w:val="002A318E"/>
    <w:rsid w:val="002B641D"/>
    <w:rsid w:val="002C5056"/>
    <w:rsid w:val="002C7CB2"/>
    <w:rsid w:val="002D4A17"/>
    <w:rsid w:val="002E54B9"/>
    <w:rsid w:val="002F09CF"/>
    <w:rsid w:val="002F0D68"/>
    <w:rsid w:val="002F11B7"/>
    <w:rsid w:val="002F45F0"/>
    <w:rsid w:val="003012F5"/>
    <w:rsid w:val="00302E9C"/>
    <w:rsid w:val="00304E32"/>
    <w:rsid w:val="0030721B"/>
    <w:rsid w:val="00311054"/>
    <w:rsid w:val="00321299"/>
    <w:rsid w:val="003215CD"/>
    <w:rsid w:val="00321DAD"/>
    <w:rsid w:val="00323996"/>
    <w:rsid w:val="00326A12"/>
    <w:rsid w:val="00334157"/>
    <w:rsid w:val="003356DC"/>
    <w:rsid w:val="0033596A"/>
    <w:rsid w:val="003400C7"/>
    <w:rsid w:val="00350B9B"/>
    <w:rsid w:val="00350E5C"/>
    <w:rsid w:val="00374771"/>
    <w:rsid w:val="00380912"/>
    <w:rsid w:val="00383ECE"/>
    <w:rsid w:val="00384CF9"/>
    <w:rsid w:val="0039228F"/>
    <w:rsid w:val="00392836"/>
    <w:rsid w:val="00396A45"/>
    <w:rsid w:val="00397F74"/>
    <w:rsid w:val="003A0D04"/>
    <w:rsid w:val="003A1421"/>
    <w:rsid w:val="003A6064"/>
    <w:rsid w:val="003B071E"/>
    <w:rsid w:val="003B6F36"/>
    <w:rsid w:val="003B7F95"/>
    <w:rsid w:val="003C2EE6"/>
    <w:rsid w:val="003C6BFC"/>
    <w:rsid w:val="003D337A"/>
    <w:rsid w:val="003D3565"/>
    <w:rsid w:val="003D786C"/>
    <w:rsid w:val="003D7BC8"/>
    <w:rsid w:val="003E2F9B"/>
    <w:rsid w:val="004017BF"/>
    <w:rsid w:val="004020F2"/>
    <w:rsid w:val="00402620"/>
    <w:rsid w:val="00404141"/>
    <w:rsid w:val="004116EF"/>
    <w:rsid w:val="004142EB"/>
    <w:rsid w:val="00417C37"/>
    <w:rsid w:val="00427036"/>
    <w:rsid w:val="004308AA"/>
    <w:rsid w:val="00431FCA"/>
    <w:rsid w:val="00433624"/>
    <w:rsid w:val="00436763"/>
    <w:rsid w:val="00437883"/>
    <w:rsid w:val="00437C47"/>
    <w:rsid w:val="00437E26"/>
    <w:rsid w:val="00442402"/>
    <w:rsid w:val="0044733B"/>
    <w:rsid w:val="00451D2B"/>
    <w:rsid w:val="004522B4"/>
    <w:rsid w:val="0045307E"/>
    <w:rsid w:val="00454E05"/>
    <w:rsid w:val="00460648"/>
    <w:rsid w:val="0046676B"/>
    <w:rsid w:val="0046744F"/>
    <w:rsid w:val="0047028E"/>
    <w:rsid w:val="00474105"/>
    <w:rsid w:val="004819D6"/>
    <w:rsid w:val="00482DBF"/>
    <w:rsid w:val="004A0059"/>
    <w:rsid w:val="004A0858"/>
    <w:rsid w:val="004A11C3"/>
    <w:rsid w:val="004A737A"/>
    <w:rsid w:val="004B04BF"/>
    <w:rsid w:val="004B528D"/>
    <w:rsid w:val="004C3D71"/>
    <w:rsid w:val="004C77A0"/>
    <w:rsid w:val="004C7EC9"/>
    <w:rsid w:val="004D08FC"/>
    <w:rsid w:val="004D2A44"/>
    <w:rsid w:val="004E4DEF"/>
    <w:rsid w:val="004E57FD"/>
    <w:rsid w:val="004E688B"/>
    <w:rsid w:val="004F6612"/>
    <w:rsid w:val="0050029D"/>
    <w:rsid w:val="0050191C"/>
    <w:rsid w:val="00503DB0"/>
    <w:rsid w:val="00515109"/>
    <w:rsid w:val="005174A4"/>
    <w:rsid w:val="005225B1"/>
    <w:rsid w:val="0052759A"/>
    <w:rsid w:val="00533E8B"/>
    <w:rsid w:val="00554024"/>
    <w:rsid w:val="005641A6"/>
    <w:rsid w:val="0056604C"/>
    <w:rsid w:val="00577C83"/>
    <w:rsid w:val="00581238"/>
    <w:rsid w:val="00582909"/>
    <w:rsid w:val="005832E4"/>
    <w:rsid w:val="00584A18"/>
    <w:rsid w:val="00584E9B"/>
    <w:rsid w:val="005856B8"/>
    <w:rsid w:val="0058781B"/>
    <w:rsid w:val="005A0CE7"/>
    <w:rsid w:val="005A6913"/>
    <w:rsid w:val="005C170B"/>
    <w:rsid w:val="005C2EF6"/>
    <w:rsid w:val="005C3B00"/>
    <w:rsid w:val="005C4306"/>
    <w:rsid w:val="005C6728"/>
    <w:rsid w:val="005D0EB0"/>
    <w:rsid w:val="005D4C30"/>
    <w:rsid w:val="005D4E23"/>
    <w:rsid w:val="005D7C46"/>
    <w:rsid w:val="005E28D0"/>
    <w:rsid w:val="005E3E07"/>
    <w:rsid w:val="005F185E"/>
    <w:rsid w:val="005F43C8"/>
    <w:rsid w:val="005F486E"/>
    <w:rsid w:val="006035D1"/>
    <w:rsid w:val="00607D54"/>
    <w:rsid w:val="00610831"/>
    <w:rsid w:val="006114EC"/>
    <w:rsid w:val="00615B04"/>
    <w:rsid w:val="00617F98"/>
    <w:rsid w:val="006228B4"/>
    <w:rsid w:val="00626591"/>
    <w:rsid w:val="00627DBA"/>
    <w:rsid w:val="00630ADD"/>
    <w:rsid w:val="00633E08"/>
    <w:rsid w:val="006349E8"/>
    <w:rsid w:val="0063743D"/>
    <w:rsid w:val="00640824"/>
    <w:rsid w:val="00640BDF"/>
    <w:rsid w:val="00641657"/>
    <w:rsid w:val="006510E6"/>
    <w:rsid w:val="00651D7F"/>
    <w:rsid w:val="00652A43"/>
    <w:rsid w:val="00652B2C"/>
    <w:rsid w:val="006533D8"/>
    <w:rsid w:val="0065659D"/>
    <w:rsid w:val="00656DC5"/>
    <w:rsid w:val="00661D51"/>
    <w:rsid w:val="00661ED0"/>
    <w:rsid w:val="00664282"/>
    <w:rsid w:val="00665AE7"/>
    <w:rsid w:val="00666749"/>
    <w:rsid w:val="00670ED5"/>
    <w:rsid w:val="006871FF"/>
    <w:rsid w:val="00695171"/>
    <w:rsid w:val="006A1E2C"/>
    <w:rsid w:val="006A3DC2"/>
    <w:rsid w:val="006C6F71"/>
    <w:rsid w:val="006D4E42"/>
    <w:rsid w:val="006E54E6"/>
    <w:rsid w:val="006F1025"/>
    <w:rsid w:val="007032AE"/>
    <w:rsid w:val="00704233"/>
    <w:rsid w:val="00706D1D"/>
    <w:rsid w:val="007105B7"/>
    <w:rsid w:val="00715C11"/>
    <w:rsid w:val="00721CFD"/>
    <w:rsid w:val="00726C83"/>
    <w:rsid w:val="00727C35"/>
    <w:rsid w:val="0073136F"/>
    <w:rsid w:val="00737158"/>
    <w:rsid w:val="00737222"/>
    <w:rsid w:val="00750EA7"/>
    <w:rsid w:val="00751E1B"/>
    <w:rsid w:val="00753DE5"/>
    <w:rsid w:val="00757189"/>
    <w:rsid w:val="007677AC"/>
    <w:rsid w:val="007704A1"/>
    <w:rsid w:val="00770590"/>
    <w:rsid w:val="00777598"/>
    <w:rsid w:val="007835D4"/>
    <w:rsid w:val="007A33DB"/>
    <w:rsid w:val="007B21DC"/>
    <w:rsid w:val="007B39D0"/>
    <w:rsid w:val="007B414A"/>
    <w:rsid w:val="007C517B"/>
    <w:rsid w:val="007C60E7"/>
    <w:rsid w:val="007D0572"/>
    <w:rsid w:val="007D0EE8"/>
    <w:rsid w:val="007D41B0"/>
    <w:rsid w:val="007D4412"/>
    <w:rsid w:val="007E47E7"/>
    <w:rsid w:val="007E4E5D"/>
    <w:rsid w:val="007E66BE"/>
    <w:rsid w:val="007F0804"/>
    <w:rsid w:val="007F18EB"/>
    <w:rsid w:val="007F2BA6"/>
    <w:rsid w:val="007F7370"/>
    <w:rsid w:val="008111E0"/>
    <w:rsid w:val="00814545"/>
    <w:rsid w:val="0081503A"/>
    <w:rsid w:val="00815C86"/>
    <w:rsid w:val="00817F42"/>
    <w:rsid w:val="00833ABB"/>
    <w:rsid w:val="00834FCB"/>
    <w:rsid w:val="00837C3E"/>
    <w:rsid w:val="00841DC2"/>
    <w:rsid w:val="00847F19"/>
    <w:rsid w:val="0085112A"/>
    <w:rsid w:val="008540A9"/>
    <w:rsid w:val="00863144"/>
    <w:rsid w:val="00863F42"/>
    <w:rsid w:val="00864F6D"/>
    <w:rsid w:val="0086558E"/>
    <w:rsid w:val="00866CF5"/>
    <w:rsid w:val="008677D6"/>
    <w:rsid w:val="008726E9"/>
    <w:rsid w:val="00874536"/>
    <w:rsid w:val="008920CA"/>
    <w:rsid w:val="008939D8"/>
    <w:rsid w:val="0089530F"/>
    <w:rsid w:val="0089753F"/>
    <w:rsid w:val="008A2550"/>
    <w:rsid w:val="008A39AD"/>
    <w:rsid w:val="008A5380"/>
    <w:rsid w:val="008C75EE"/>
    <w:rsid w:val="008C796A"/>
    <w:rsid w:val="008D0528"/>
    <w:rsid w:val="008E087E"/>
    <w:rsid w:val="008F1F7B"/>
    <w:rsid w:val="008F5285"/>
    <w:rsid w:val="009276A7"/>
    <w:rsid w:val="009305B0"/>
    <w:rsid w:val="00937EA7"/>
    <w:rsid w:val="00940ECD"/>
    <w:rsid w:val="009416C9"/>
    <w:rsid w:val="009418F5"/>
    <w:rsid w:val="00941E47"/>
    <w:rsid w:val="00942B81"/>
    <w:rsid w:val="009432DE"/>
    <w:rsid w:val="00945556"/>
    <w:rsid w:val="00946719"/>
    <w:rsid w:val="00947634"/>
    <w:rsid w:val="00947DB2"/>
    <w:rsid w:val="00951469"/>
    <w:rsid w:val="00962572"/>
    <w:rsid w:val="0097198C"/>
    <w:rsid w:val="00975BA8"/>
    <w:rsid w:val="00976AAB"/>
    <w:rsid w:val="00977313"/>
    <w:rsid w:val="009822AF"/>
    <w:rsid w:val="0098307F"/>
    <w:rsid w:val="00983F0C"/>
    <w:rsid w:val="009872FB"/>
    <w:rsid w:val="0099209F"/>
    <w:rsid w:val="00995FE5"/>
    <w:rsid w:val="0099748A"/>
    <w:rsid w:val="009A0B5B"/>
    <w:rsid w:val="009A0BD9"/>
    <w:rsid w:val="009A6247"/>
    <w:rsid w:val="009A7BC6"/>
    <w:rsid w:val="009B2B91"/>
    <w:rsid w:val="009B44AD"/>
    <w:rsid w:val="009C1208"/>
    <w:rsid w:val="009C4F3B"/>
    <w:rsid w:val="009C684D"/>
    <w:rsid w:val="009C7166"/>
    <w:rsid w:val="009D3881"/>
    <w:rsid w:val="009D4279"/>
    <w:rsid w:val="009D46C2"/>
    <w:rsid w:val="009E1BBB"/>
    <w:rsid w:val="009E526F"/>
    <w:rsid w:val="009E7723"/>
    <w:rsid w:val="009F2A3A"/>
    <w:rsid w:val="009F52D4"/>
    <w:rsid w:val="00A01296"/>
    <w:rsid w:val="00A02308"/>
    <w:rsid w:val="00A03602"/>
    <w:rsid w:val="00A04513"/>
    <w:rsid w:val="00A10712"/>
    <w:rsid w:val="00A12A10"/>
    <w:rsid w:val="00A139FF"/>
    <w:rsid w:val="00A1583A"/>
    <w:rsid w:val="00A17727"/>
    <w:rsid w:val="00A17B5E"/>
    <w:rsid w:val="00A203DF"/>
    <w:rsid w:val="00A41F5B"/>
    <w:rsid w:val="00A434D2"/>
    <w:rsid w:val="00A45F80"/>
    <w:rsid w:val="00A47D17"/>
    <w:rsid w:val="00A47DCD"/>
    <w:rsid w:val="00A62036"/>
    <w:rsid w:val="00A643CD"/>
    <w:rsid w:val="00A654EE"/>
    <w:rsid w:val="00A66B7F"/>
    <w:rsid w:val="00A7370B"/>
    <w:rsid w:val="00A9716E"/>
    <w:rsid w:val="00AA22AA"/>
    <w:rsid w:val="00AA5300"/>
    <w:rsid w:val="00AA5706"/>
    <w:rsid w:val="00AB2338"/>
    <w:rsid w:val="00AB6BC4"/>
    <w:rsid w:val="00AB7030"/>
    <w:rsid w:val="00AC0CE0"/>
    <w:rsid w:val="00AC4405"/>
    <w:rsid w:val="00AD0766"/>
    <w:rsid w:val="00AE31A0"/>
    <w:rsid w:val="00AE3EA0"/>
    <w:rsid w:val="00AE6099"/>
    <w:rsid w:val="00AF1ABA"/>
    <w:rsid w:val="00AF56AC"/>
    <w:rsid w:val="00B05E49"/>
    <w:rsid w:val="00B0773F"/>
    <w:rsid w:val="00B109CC"/>
    <w:rsid w:val="00B13732"/>
    <w:rsid w:val="00B13DB7"/>
    <w:rsid w:val="00B17D9B"/>
    <w:rsid w:val="00B20CFD"/>
    <w:rsid w:val="00B344DD"/>
    <w:rsid w:val="00B55875"/>
    <w:rsid w:val="00B55B2A"/>
    <w:rsid w:val="00B57AFF"/>
    <w:rsid w:val="00B6166D"/>
    <w:rsid w:val="00B717CE"/>
    <w:rsid w:val="00B751CD"/>
    <w:rsid w:val="00B83521"/>
    <w:rsid w:val="00B840D7"/>
    <w:rsid w:val="00B96108"/>
    <w:rsid w:val="00B97724"/>
    <w:rsid w:val="00BA226A"/>
    <w:rsid w:val="00BB158A"/>
    <w:rsid w:val="00BB4C20"/>
    <w:rsid w:val="00BC2B8C"/>
    <w:rsid w:val="00BC401B"/>
    <w:rsid w:val="00BD50F0"/>
    <w:rsid w:val="00BD7649"/>
    <w:rsid w:val="00BE5B63"/>
    <w:rsid w:val="00BF31FB"/>
    <w:rsid w:val="00BF4568"/>
    <w:rsid w:val="00BF4C38"/>
    <w:rsid w:val="00C053C7"/>
    <w:rsid w:val="00C11B9E"/>
    <w:rsid w:val="00C156B9"/>
    <w:rsid w:val="00C17485"/>
    <w:rsid w:val="00C17FC1"/>
    <w:rsid w:val="00C30073"/>
    <w:rsid w:val="00C35674"/>
    <w:rsid w:val="00C42D2C"/>
    <w:rsid w:val="00C4491E"/>
    <w:rsid w:val="00C46F28"/>
    <w:rsid w:val="00C47ABA"/>
    <w:rsid w:val="00C56A4D"/>
    <w:rsid w:val="00C56B65"/>
    <w:rsid w:val="00C635BB"/>
    <w:rsid w:val="00C81F5F"/>
    <w:rsid w:val="00C8444A"/>
    <w:rsid w:val="00C84BEB"/>
    <w:rsid w:val="00C90D80"/>
    <w:rsid w:val="00C924CE"/>
    <w:rsid w:val="00C93F26"/>
    <w:rsid w:val="00C94CC3"/>
    <w:rsid w:val="00C94FE2"/>
    <w:rsid w:val="00CA0BF5"/>
    <w:rsid w:val="00CA3046"/>
    <w:rsid w:val="00CC777B"/>
    <w:rsid w:val="00CD4994"/>
    <w:rsid w:val="00CE1BFC"/>
    <w:rsid w:val="00CE4B15"/>
    <w:rsid w:val="00CF24A4"/>
    <w:rsid w:val="00CF44FE"/>
    <w:rsid w:val="00CF5649"/>
    <w:rsid w:val="00CF5958"/>
    <w:rsid w:val="00CF7037"/>
    <w:rsid w:val="00D06338"/>
    <w:rsid w:val="00D20FB9"/>
    <w:rsid w:val="00D30370"/>
    <w:rsid w:val="00D37DD3"/>
    <w:rsid w:val="00D40EF9"/>
    <w:rsid w:val="00D44876"/>
    <w:rsid w:val="00D45DEC"/>
    <w:rsid w:val="00D4720B"/>
    <w:rsid w:val="00D50608"/>
    <w:rsid w:val="00D5162A"/>
    <w:rsid w:val="00D519EB"/>
    <w:rsid w:val="00D63251"/>
    <w:rsid w:val="00D66148"/>
    <w:rsid w:val="00D741A6"/>
    <w:rsid w:val="00D779DF"/>
    <w:rsid w:val="00D81B03"/>
    <w:rsid w:val="00D83445"/>
    <w:rsid w:val="00D84934"/>
    <w:rsid w:val="00D875FA"/>
    <w:rsid w:val="00D93117"/>
    <w:rsid w:val="00DA31B9"/>
    <w:rsid w:val="00DA4620"/>
    <w:rsid w:val="00DA4852"/>
    <w:rsid w:val="00DA4948"/>
    <w:rsid w:val="00DB2194"/>
    <w:rsid w:val="00DB53F8"/>
    <w:rsid w:val="00DB7869"/>
    <w:rsid w:val="00DB7A98"/>
    <w:rsid w:val="00DC0131"/>
    <w:rsid w:val="00DC53C2"/>
    <w:rsid w:val="00DC544E"/>
    <w:rsid w:val="00DE15CE"/>
    <w:rsid w:val="00DE1AF0"/>
    <w:rsid w:val="00DE249A"/>
    <w:rsid w:val="00E02402"/>
    <w:rsid w:val="00E13093"/>
    <w:rsid w:val="00E210DE"/>
    <w:rsid w:val="00E302DB"/>
    <w:rsid w:val="00E3498A"/>
    <w:rsid w:val="00E426AC"/>
    <w:rsid w:val="00E44D56"/>
    <w:rsid w:val="00E457EA"/>
    <w:rsid w:val="00E53DAA"/>
    <w:rsid w:val="00E56002"/>
    <w:rsid w:val="00E64346"/>
    <w:rsid w:val="00E66A79"/>
    <w:rsid w:val="00E728F5"/>
    <w:rsid w:val="00E73336"/>
    <w:rsid w:val="00E77A48"/>
    <w:rsid w:val="00E949BE"/>
    <w:rsid w:val="00E9725F"/>
    <w:rsid w:val="00EA2994"/>
    <w:rsid w:val="00EA76D6"/>
    <w:rsid w:val="00EB41AA"/>
    <w:rsid w:val="00EB7702"/>
    <w:rsid w:val="00EC5C0D"/>
    <w:rsid w:val="00ED1000"/>
    <w:rsid w:val="00ED125D"/>
    <w:rsid w:val="00ED20C3"/>
    <w:rsid w:val="00EE1190"/>
    <w:rsid w:val="00EE1BA9"/>
    <w:rsid w:val="00EE6F17"/>
    <w:rsid w:val="00EE716E"/>
    <w:rsid w:val="00F01D72"/>
    <w:rsid w:val="00F03FD0"/>
    <w:rsid w:val="00F04A57"/>
    <w:rsid w:val="00F11B5E"/>
    <w:rsid w:val="00F1467D"/>
    <w:rsid w:val="00F1539F"/>
    <w:rsid w:val="00F155B3"/>
    <w:rsid w:val="00F15C6F"/>
    <w:rsid w:val="00F16982"/>
    <w:rsid w:val="00F16D92"/>
    <w:rsid w:val="00F37524"/>
    <w:rsid w:val="00F401FC"/>
    <w:rsid w:val="00F426E1"/>
    <w:rsid w:val="00F46162"/>
    <w:rsid w:val="00F516A3"/>
    <w:rsid w:val="00F64018"/>
    <w:rsid w:val="00F65AAD"/>
    <w:rsid w:val="00F71CF6"/>
    <w:rsid w:val="00F74B47"/>
    <w:rsid w:val="00F750E8"/>
    <w:rsid w:val="00F76391"/>
    <w:rsid w:val="00F7668C"/>
    <w:rsid w:val="00F76815"/>
    <w:rsid w:val="00F77A66"/>
    <w:rsid w:val="00F833F0"/>
    <w:rsid w:val="00F866DC"/>
    <w:rsid w:val="00F87844"/>
    <w:rsid w:val="00F9528E"/>
    <w:rsid w:val="00FA2C46"/>
    <w:rsid w:val="00FB1CD0"/>
    <w:rsid w:val="00FC1029"/>
    <w:rsid w:val="00FC1DAC"/>
    <w:rsid w:val="00FC3036"/>
    <w:rsid w:val="00FC6F3E"/>
    <w:rsid w:val="00FC737B"/>
    <w:rsid w:val="00FD3E29"/>
    <w:rsid w:val="00FE49EE"/>
    <w:rsid w:val="00FF1F72"/>
    <w:rsid w:val="00FF2C48"/>
    <w:rsid w:val="00FF614D"/>
    <w:rsid w:val="00FF6603"/>
    <w:rsid w:val="00FF7A53"/>
    <w:rsid w:val="7EAFD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2029B"/>
  <w15:docId w15:val="{61D7541B-06C1-4E01-86B2-B127574F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table" w:styleId="TableGrid">
    <w:name w:val="Table Grid"/>
    <w:basedOn w:val="TableNormal"/>
    <w:uiPriority w:val="59"/>
    <w:rsid w:val="00FF6603"/>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F6603"/>
    <w:rPr>
      <w:sz w:val="16"/>
      <w:szCs w:val="16"/>
    </w:rPr>
  </w:style>
  <w:style w:type="paragraph" w:styleId="CommentText">
    <w:name w:val="annotation text"/>
    <w:basedOn w:val="Normal"/>
    <w:link w:val="CommentTextChar"/>
    <w:uiPriority w:val="99"/>
    <w:unhideWhenUsed/>
    <w:rsid w:val="00FF6603"/>
    <w:pPr>
      <w:widowControl/>
      <w:autoSpaceDE/>
      <w:autoSpaceDN/>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FF6603"/>
    <w:rPr>
      <w:rFonts w:ascii="Calibri" w:eastAsia="Calibri" w:hAnsi="Calibri" w:cs="Times New Roman"/>
      <w:sz w:val="20"/>
      <w:szCs w:val="20"/>
    </w:rPr>
  </w:style>
  <w:style w:type="paragraph" w:styleId="Revision">
    <w:name w:val="Revision"/>
    <w:hidden/>
    <w:uiPriority w:val="99"/>
    <w:semiHidden/>
    <w:rsid w:val="0063743D"/>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A2550"/>
    <w:pPr>
      <w:widowControl w:val="0"/>
      <w:autoSpaceDE w:val="0"/>
      <w:autoSpaceDN w:val="0"/>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8A255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A4620"/>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A4620"/>
    <w:rPr>
      <w:sz w:val="20"/>
      <w:szCs w:val="20"/>
    </w:rPr>
  </w:style>
  <w:style w:type="character" w:styleId="FootnoteReference">
    <w:name w:val="footnote reference"/>
    <w:basedOn w:val="DefaultParagraphFont"/>
    <w:uiPriority w:val="99"/>
    <w:semiHidden/>
    <w:unhideWhenUsed/>
    <w:rsid w:val="00DA4620"/>
    <w:rPr>
      <w:vertAlign w:val="superscript"/>
    </w:rPr>
  </w:style>
  <w:style w:type="character" w:styleId="Hyperlink">
    <w:name w:val="Hyperlink"/>
    <w:basedOn w:val="DefaultParagraphFont"/>
    <w:uiPriority w:val="99"/>
    <w:unhideWhenUsed/>
    <w:rsid w:val="00DA4620"/>
    <w:rPr>
      <w:color w:val="0000FF" w:themeColor="hyperlink"/>
      <w:u w:val="single"/>
    </w:rPr>
  </w:style>
  <w:style w:type="character" w:styleId="UnresolvedMention">
    <w:name w:val="Unresolved Mention"/>
    <w:basedOn w:val="DefaultParagraphFont"/>
    <w:uiPriority w:val="99"/>
    <w:semiHidden/>
    <w:unhideWhenUsed/>
    <w:rsid w:val="00DA4620"/>
    <w:rPr>
      <w:color w:val="605E5C"/>
      <w:shd w:val="clear" w:color="auto" w:fill="E1DFDD"/>
    </w:rPr>
  </w:style>
  <w:style w:type="character" w:styleId="FollowedHyperlink">
    <w:name w:val="FollowedHyperlink"/>
    <w:basedOn w:val="DefaultParagraphFont"/>
    <w:uiPriority w:val="99"/>
    <w:semiHidden/>
    <w:unhideWhenUsed/>
    <w:rsid w:val="009A7BC6"/>
    <w:rPr>
      <w:color w:val="800080" w:themeColor="followedHyperlink"/>
      <w:u w:val="single"/>
    </w:rPr>
  </w:style>
  <w:style w:type="paragraph" w:customStyle="1" w:styleId="Default">
    <w:name w:val="Default"/>
    <w:rsid w:val="00130023"/>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44D56"/>
    <w:pPr>
      <w:tabs>
        <w:tab w:val="center" w:pos="4680"/>
        <w:tab w:val="right" w:pos="9360"/>
      </w:tabs>
    </w:pPr>
  </w:style>
  <w:style w:type="character" w:customStyle="1" w:styleId="HeaderChar">
    <w:name w:val="Header Char"/>
    <w:basedOn w:val="DefaultParagraphFont"/>
    <w:link w:val="Header"/>
    <w:uiPriority w:val="99"/>
    <w:rsid w:val="00E44D56"/>
    <w:rPr>
      <w:rFonts w:ascii="Times New Roman" w:eastAsia="Times New Roman" w:hAnsi="Times New Roman" w:cs="Times New Roman"/>
    </w:rPr>
  </w:style>
  <w:style w:type="paragraph" w:styleId="Footer">
    <w:name w:val="footer"/>
    <w:basedOn w:val="Normal"/>
    <w:link w:val="FooterChar"/>
    <w:uiPriority w:val="99"/>
    <w:unhideWhenUsed/>
    <w:rsid w:val="00E44D56"/>
    <w:pPr>
      <w:tabs>
        <w:tab w:val="center" w:pos="4680"/>
        <w:tab w:val="right" w:pos="9360"/>
      </w:tabs>
    </w:pPr>
  </w:style>
  <w:style w:type="character" w:customStyle="1" w:styleId="FooterChar">
    <w:name w:val="Footer Char"/>
    <w:basedOn w:val="DefaultParagraphFont"/>
    <w:link w:val="Footer"/>
    <w:uiPriority w:val="99"/>
    <w:rsid w:val="00E44D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5988">
      <w:bodyDiv w:val="1"/>
      <w:marLeft w:val="0"/>
      <w:marRight w:val="0"/>
      <w:marTop w:val="0"/>
      <w:marBottom w:val="0"/>
      <w:divBdr>
        <w:top w:val="none" w:sz="0" w:space="0" w:color="auto"/>
        <w:left w:val="none" w:sz="0" w:space="0" w:color="auto"/>
        <w:bottom w:val="none" w:sz="0" w:space="0" w:color="auto"/>
        <w:right w:val="none" w:sz="0" w:space="0" w:color="auto"/>
      </w:divBdr>
    </w:div>
    <w:div w:id="246768330">
      <w:bodyDiv w:val="1"/>
      <w:marLeft w:val="0"/>
      <w:marRight w:val="0"/>
      <w:marTop w:val="0"/>
      <w:marBottom w:val="0"/>
      <w:divBdr>
        <w:top w:val="none" w:sz="0" w:space="0" w:color="auto"/>
        <w:left w:val="none" w:sz="0" w:space="0" w:color="auto"/>
        <w:bottom w:val="none" w:sz="0" w:space="0" w:color="auto"/>
        <w:right w:val="none" w:sz="0" w:space="0" w:color="auto"/>
      </w:divBdr>
    </w:div>
    <w:div w:id="276525718">
      <w:bodyDiv w:val="1"/>
      <w:marLeft w:val="0"/>
      <w:marRight w:val="0"/>
      <w:marTop w:val="0"/>
      <w:marBottom w:val="0"/>
      <w:divBdr>
        <w:top w:val="none" w:sz="0" w:space="0" w:color="auto"/>
        <w:left w:val="none" w:sz="0" w:space="0" w:color="auto"/>
        <w:bottom w:val="none" w:sz="0" w:space="0" w:color="auto"/>
        <w:right w:val="none" w:sz="0" w:space="0" w:color="auto"/>
      </w:divBdr>
    </w:div>
    <w:div w:id="710149608">
      <w:bodyDiv w:val="1"/>
      <w:marLeft w:val="0"/>
      <w:marRight w:val="0"/>
      <w:marTop w:val="0"/>
      <w:marBottom w:val="0"/>
      <w:divBdr>
        <w:top w:val="none" w:sz="0" w:space="0" w:color="auto"/>
        <w:left w:val="none" w:sz="0" w:space="0" w:color="auto"/>
        <w:bottom w:val="none" w:sz="0" w:space="0" w:color="auto"/>
        <w:right w:val="none" w:sz="0" w:space="0" w:color="auto"/>
      </w:divBdr>
    </w:div>
    <w:div w:id="736246801">
      <w:bodyDiv w:val="1"/>
      <w:marLeft w:val="0"/>
      <w:marRight w:val="0"/>
      <w:marTop w:val="0"/>
      <w:marBottom w:val="0"/>
      <w:divBdr>
        <w:top w:val="none" w:sz="0" w:space="0" w:color="auto"/>
        <w:left w:val="none" w:sz="0" w:space="0" w:color="auto"/>
        <w:bottom w:val="none" w:sz="0" w:space="0" w:color="auto"/>
        <w:right w:val="none" w:sz="0" w:space="0" w:color="auto"/>
      </w:divBdr>
    </w:div>
    <w:div w:id="1089693011">
      <w:bodyDiv w:val="1"/>
      <w:marLeft w:val="0"/>
      <w:marRight w:val="0"/>
      <w:marTop w:val="0"/>
      <w:marBottom w:val="0"/>
      <w:divBdr>
        <w:top w:val="none" w:sz="0" w:space="0" w:color="auto"/>
        <w:left w:val="none" w:sz="0" w:space="0" w:color="auto"/>
        <w:bottom w:val="none" w:sz="0" w:space="0" w:color="auto"/>
        <w:right w:val="none" w:sz="0" w:space="0" w:color="auto"/>
      </w:divBdr>
    </w:div>
    <w:div w:id="1093939301">
      <w:bodyDiv w:val="1"/>
      <w:marLeft w:val="0"/>
      <w:marRight w:val="0"/>
      <w:marTop w:val="0"/>
      <w:marBottom w:val="0"/>
      <w:divBdr>
        <w:top w:val="none" w:sz="0" w:space="0" w:color="auto"/>
        <w:left w:val="none" w:sz="0" w:space="0" w:color="auto"/>
        <w:bottom w:val="none" w:sz="0" w:space="0" w:color="auto"/>
        <w:right w:val="none" w:sz="0" w:space="0" w:color="auto"/>
      </w:divBdr>
    </w:div>
    <w:div w:id="1165124308">
      <w:bodyDiv w:val="1"/>
      <w:marLeft w:val="0"/>
      <w:marRight w:val="0"/>
      <w:marTop w:val="0"/>
      <w:marBottom w:val="0"/>
      <w:divBdr>
        <w:top w:val="none" w:sz="0" w:space="0" w:color="auto"/>
        <w:left w:val="none" w:sz="0" w:space="0" w:color="auto"/>
        <w:bottom w:val="none" w:sz="0" w:space="0" w:color="auto"/>
        <w:right w:val="none" w:sz="0" w:space="0" w:color="auto"/>
      </w:divBdr>
    </w:div>
    <w:div w:id="1689672355">
      <w:bodyDiv w:val="1"/>
      <w:marLeft w:val="0"/>
      <w:marRight w:val="0"/>
      <w:marTop w:val="0"/>
      <w:marBottom w:val="0"/>
      <w:divBdr>
        <w:top w:val="none" w:sz="0" w:space="0" w:color="auto"/>
        <w:left w:val="none" w:sz="0" w:space="0" w:color="auto"/>
        <w:bottom w:val="none" w:sz="0" w:space="0" w:color="auto"/>
        <w:right w:val="none" w:sz="0" w:space="0" w:color="auto"/>
      </w:divBdr>
    </w:div>
    <w:div w:id="1752433750">
      <w:bodyDiv w:val="1"/>
      <w:marLeft w:val="0"/>
      <w:marRight w:val="0"/>
      <w:marTop w:val="0"/>
      <w:marBottom w:val="0"/>
      <w:divBdr>
        <w:top w:val="none" w:sz="0" w:space="0" w:color="auto"/>
        <w:left w:val="none" w:sz="0" w:space="0" w:color="auto"/>
        <w:bottom w:val="none" w:sz="0" w:space="0" w:color="auto"/>
        <w:right w:val="none" w:sz="0" w:space="0" w:color="auto"/>
      </w:divBdr>
    </w:div>
    <w:div w:id="1809938154">
      <w:bodyDiv w:val="1"/>
      <w:marLeft w:val="0"/>
      <w:marRight w:val="0"/>
      <w:marTop w:val="0"/>
      <w:marBottom w:val="0"/>
      <w:divBdr>
        <w:top w:val="none" w:sz="0" w:space="0" w:color="auto"/>
        <w:left w:val="none" w:sz="0" w:space="0" w:color="auto"/>
        <w:bottom w:val="none" w:sz="0" w:space="0" w:color="auto"/>
        <w:right w:val="none" w:sz="0" w:space="0" w:color="auto"/>
      </w:divBdr>
    </w:div>
    <w:div w:id="1909917644">
      <w:bodyDiv w:val="1"/>
      <w:marLeft w:val="0"/>
      <w:marRight w:val="0"/>
      <w:marTop w:val="0"/>
      <w:marBottom w:val="0"/>
      <w:divBdr>
        <w:top w:val="none" w:sz="0" w:space="0" w:color="auto"/>
        <w:left w:val="none" w:sz="0" w:space="0" w:color="auto"/>
        <w:bottom w:val="none" w:sz="0" w:space="0" w:color="auto"/>
        <w:right w:val="none" w:sz="0" w:space="0" w:color="auto"/>
      </w:divBdr>
    </w:div>
    <w:div w:id="1969388595">
      <w:bodyDiv w:val="1"/>
      <w:marLeft w:val="0"/>
      <w:marRight w:val="0"/>
      <w:marTop w:val="0"/>
      <w:marBottom w:val="0"/>
      <w:divBdr>
        <w:top w:val="none" w:sz="0" w:space="0" w:color="auto"/>
        <w:left w:val="none" w:sz="0" w:space="0" w:color="auto"/>
        <w:bottom w:val="none" w:sz="0" w:space="0" w:color="auto"/>
        <w:right w:val="none" w:sz="0" w:space="0" w:color="auto"/>
      </w:divBdr>
    </w:div>
    <w:div w:id="2102724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misial@actuary.org" TargetMode="External"/><Relationship Id="rId4" Type="http://schemas.openxmlformats.org/officeDocument/2006/relationships/settings" Target="settings.xml"/><Relationship Id="rId9" Type="http://schemas.openxmlformats.org/officeDocument/2006/relationships/hyperlink" Target="https://content.naic.org/sites/default/files/inline-files/VM-22%20Retrospective%20Application%20Exposure%2003232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3904-1AE0-4F57-BFBA-DAFC1C50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1989</Words>
  <Characters>11065</Characters>
  <Application>Microsoft Office Word</Application>
  <DocSecurity>0</DocSecurity>
  <Lines>190</Lines>
  <Paragraphs>85</Paragraphs>
  <ScaleCrop>false</ScaleCrop>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Barry-Moilanen</dc:creator>
  <cp:keywords/>
  <dc:description/>
  <cp:lastModifiedBy>Marie Fabienne Amisial</cp:lastModifiedBy>
  <cp:revision>66</cp:revision>
  <dcterms:created xsi:type="dcterms:W3CDTF">2026-06-22T16:53:00Z</dcterms:created>
  <dcterms:modified xsi:type="dcterms:W3CDTF">2026-06-22T20:36:00Z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0x0101003407BDF7C3526646BEE9A220AC957184</vt:lpwstr>
  </property>
  <property fmtid="{D5CDD505-2E9C-101B-9397-08002B2CF9AE}" pid="3" name="Created">
    <vt:filetime>2024-12-04T00:00:00Z</vt:filetime>
  </property>
  <property fmtid="{D5CDD505-2E9C-101B-9397-08002B2CF9AE}" pid="4" name="Creator">
    <vt:lpwstr>Acrobat PDFMaker 15 for Word</vt:lpwstr>
  </property>
  <property fmtid="{D5CDD505-2E9C-101B-9397-08002B2CF9AE}" pid="5" name="GrammarlyDocumentId">
    <vt:lpwstr>d78c032f77ffc86ce8fe02854f1cf1e0d4036a07f2c08a5126b945be3ae35745</vt:lpwstr>
  </property>
  <property fmtid="{D5CDD505-2E9C-101B-9397-08002B2CF9AE}" pid="6" name="HumanaClassification">
    <vt:lpwstr>I</vt:lpwstr>
  </property>
  <property fmtid="{D5CDD505-2E9C-101B-9397-08002B2CF9AE}" pid="7" name="LastSaved">
    <vt:filetime>2024-12-30T00:00:00Z</vt:filetime>
  </property>
  <property fmtid="{D5CDD505-2E9C-101B-9397-08002B2CF9AE}" pid="8" name="MSIP_Label_320f21ee-9bdc-4991-8abe-58f53448e302_ActionId">
    <vt:lpwstr>88e0b1c4-23d7-436f-bb29-0f413d3e0459</vt:lpwstr>
  </property>
  <property fmtid="{D5CDD505-2E9C-101B-9397-08002B2CF9AE}" pid="9" name="MSIP_Label_320f21ee-9bdc-4991-8abe-58f53448e302_ContentBits">
    <vt:lpwstr>0</vt:lpwstr>
  </property>
  <property fmtid="{D5CDD505-2E9C-101B-9397-08002B2CF9AE}" pid="10" name="MSIP_Label_320f21ee-9bdc-4991-8abe-58f53448e302_Enabled">
    <vt:lpwstr>true</vt:lpwstr>
  </property>
  <property fmtid="{D5CDD505-2E9C-101B-9397-08002B2CF9AE}" pid="11" name="MSIP_Label_320f21ee-9bdc-4991-8abe-58f53448e302_Method">
    <vt:lpwstr>Privileged</vt:lpwstr>
  </property>
  <property fmtid="{D5CDD505-2E9C-101B-9397-08002B2CF9AE}" pid="12" name="MSIP_Label_320f21ee-9bdc-4991-8abe-58f53448e302_Name">
    <vt:lpwstr>External Label</vt:lpwstr>
  </property>
  <property fmtid="{D5CDD505-2E9C-101B-9397-08002B2CF9AE}" pid="13" name="MSIP_Label_320f21ee-9bdc-4991-8abe-58f53448e302_SetDate">
    <vt:lpwstr>2023-01-17T18:09:11Z</vt:lpwstr>
  </property>
  <property fmtid="{D5CDD505-2E9C-101B-9397-08002B2CF9AE}" pid="14" name="MSIP_Label_320f21ee-9bdc-4991-8abe-58f53448e302_SiteId">
    <vt:lpwstr>db05faca-c82a-4b9d-b9c5-0f64b6755421</vt:lpwstr>
  </property>
  <property fmtid="{D5CDD505-2E9C-101B-9397-08002B2CF9AE}" pid="15" name="MSIP_Label_5a776955-85f6-4fec-9553-96dd3e0373c4_ActionId">
    <vt:lpwstr>ad01f64b-8d7f-4c04-96b4-463ed7aedd65</vt:lpwstr>
  </property>
  <property fmtid="{D5CDD505-2E9C-101B-9397-08002B2CF9AE}" pid="16" name="MSIP_Label_5a776955-85f6-4fec-9553-96dd3e0373c4_ContentBits">
    <vt:lpwstr>0</vt:lpwstr>
  </property>
  <property fmtid="{D5CDD505-2E9C-101B-9397-08002B2CF9AE}" pid="17" name="MSIP_Label_5a776955-85f6-4fec-9553-96dd3e0373c4_Enabled">
    <vt:lpwstr>true</vt:lpwstr>
  </property>
  <property fmtid="{D5CDD505-2E9C-101B-9397-08002B2CF9AE}" pid="18" name="MSIP_Label_5a776955-85f6-4fec-9553-96dd3e0373c4_Method">
    <vt:lpwstr>Standard</vt:lpwstr>
  </property>
  <property fmtid="{D5CDD505-2E9C-101B-9397-08002B2CF9AE}" pid="19" name="MSIP_Label_5a776955-85f6-4fec-9553-96dd3e0373c4_Name">
    <vt:lpwstr>Confidential</vt:lpwstr>
  </property>
  <property fmtid="{D5CDD505-2E9C-101B-9397-08002B2CF9AE}" pid="20" name="MSIP_Label_5a776955-85f6-4fec-9553-96dd3e0373c4_SetDate">
    <vt:lpwstr>2022-01-22T17:39:36Z</vt:lpwstr>
  </property>
  <property fmtid="{D5CDD505-2E9C-101B-9397-08002B2CF9AE}" pid="21" name="MSIP_Label_5a776955-85f6-4fec-9553-96dd3e0373c4_SiteId">
    <vt:lpwstr>f45ccc07-e57e-4d15-bf6f-f6cbccd2d395</vt:lpwstr>
  </property>
  <property fmtid="{D5CDD505-2E9C-101B-9397-08002B2CF9AE}" pid="22" name="MSIP_Label_6a772476-9fad-428e-bd1c-a3a17c3bbc75_ActionId">
    <vt:lpwstr>eece372a-a8d2-4bfb-930b-bc618b399669</vt:lpwstr>
  </property>
  <property fmtid="{D5CDD505-2E9C-101B-9397-08002B2CF9AE}" pid="23" name="MSIP_Label_6a772476-9fad-428e-bd1c-a3a17c3bbc75_ContentBits">
    <vt:lpwstr>0</vt:lpwstr>
  </property>
  <property fmtid="{D5CDD505-2E9C-101B-9397-08002B2CF9AE}" pid="24" name="MSIP_Label_6a772476-9fad-428e-bd1c-a3a17c3bbc75_Enabled">
    <vt:lpwstr>true</vt:lpwstr>
  </property>
  <property fmtid="{D5CDD505-2E9C-101B-9397-08002B2CF9AE}" pid="25" name="MSIP_Label_6a772476-9fad-428e-bd1c-a3a17c3bbc75_Method">
    <vt:lpwstr>Standard</vt:lpwstr>
  </property>
  <property fmtid="{D5CDD505-2E9C-101B-9397-08002B2CF9AE}" pid="26" name="MSIP_Label_6a772476-9fad-428e-bd1c-a3a17c3bbc75_Name">
    <vt:lpwstr>Confidential Information</vt:lpwstr>
  </property>
  <property fmtid="{D5CDD505-2E9C-101B-9397-08002B2CF9AE}" pid="27" name="MSIP_Label_6a772476-9fad-428e-bd1c-a3a17c3bbc75_SetDate">
    <vt:lpwstr>2022-01-21T14:23:29Z</vt:lpwstr>
  </property>
  <property fmtid="{D5CDD505-2E9C-101B-9397-08002B2CF9AE}" pid="28" name="MSIP_Label_6a772476-9fad-428e-bd1c-a3a17c3bbc75_SiteId">
    <vt:lpwstr>bb087376-1284-4173-9385-a6766cdfef8c</vt:lpwstr>
  </property>
  <property fmtid="{D5CDD505-2E9C-101B-9397-08002B2CF9AE}" pid="29" name="Producer">
    <vt:lpwstr>Adobe PDF Library 15.0</vt:lpwstr>
  </property>
  <property fmtid="{D5CDD505-2E9C-101B-9397-08002B2CF9AE}" pid="30" name="ScannedBy">
    <vt:lpwstr>TCS-ContentScanned</vt:lpwstr>
  </property>
  <property fmtid="{D5CDD505-2E9C-101B-9397-08002B2CF9AE}" pid="31" name="SourceModified">
    <vt:lpwstr>D:20241204195353</vt:lpwstr>
  </property>
  <property fmtid="{D5CDD505-2E9C-101B-9397-08002B2CF9AE}" pid="32" name="TitusGUID">
    <vt:lpwstr>60c475be-e05a-492c-a90e-004bcb47b619</vt:lpwstr>
  </property>
  <property fmtid="{D5CDD505-2E9C-101B-9397-08002B2CF9AE}" pid="33" name="MSIP_Label_8f0b5d98-aa4b-42ad-b5be-1e75bbcbb7d7_Enabled">
    <vt:lpwstr>true</vt:lpwstr>
  </property>
  <property fmtid="{D5CDD505-2E9C-101B-9397-08002B2CF9AE}" pid="34" name="MSIP_Label_8f0b5d98-aa4b-42ad-b5be-1e75bbcbb7d7_SetDate">
    <vt:lpwstr>2024-12-30T20:29:33Z</vt:lpwstr>
  </property>
  <property fmtid="{D5CDD505-2E9C-101B-9397-08002B2CF9AE}" pid="35" name="MSIP_Label_8f0b5d98-aa4b-42ad-b5be-1e75bbcbb7d7_Method">
    <vt:lpwstr>Standard</vt:lpwstr>
  </property>
  <property fmtid="{D5CDD505-2E9C-101B-9397-08002B2CF9AE}" pid="36" name="MSIP_Label_8f0b5d98-aa4b-42ad-b5be-1e75bbcbb7d7_Name">
    <vt:lpwstr>Internal-pilot</vt:lpwstr>
  </property>
  <property fmtid="{D5CDD505-2E9C-101B-9397-08002B2CF9AE}" pid="37" name="MSIP_Label_8f0b5d98-aa4b-42ad-b5be-1e75bbcbb7d7_SiteId">
    <vt:lpwstr>a651e8f0-93d2-41c2-88b6-e8c5a1ad2375</vt:lpwstr>
  </property>
  <property fmtid="{D5CDD505-2E9C-101B-9397-08002B2CF9AE}" pid="38" name="MSIP_Label_8f0b5d98-aa4b-42ad-b5be-1e75bbcbb7d7_ActionId">
    <vt:lpwstr>b2d98130-eaa3-47ca-befa-8997ffe14fb8</vt:lpwstr>
  </property>
  <property fmtid="{D5CDD505-2E9C-101B-9397-08002B2CF9AE}" pid="39" name="MSIP_Label_8f0b5d98-aa4b-42ad-b5be-1e75bbcbb7d7_ContentBits">
    <vt:lpwstr>0</vt:lpwstr>
  </property>
  <property fmtid="{D5CDD505-2E9C-101B-9397-08002B2CF9AE}" pid="40" name="MSIP_Label_0d0d896c-7307-4e3f-87b0-7d1d5d997a8c_Enabled">
    <vt:lpwstr>true</vt:lpwstr>
  </property>
  <property fmtid="{D5CDD505-2E9C-101B-9397-08002B2CF9AE}" pid="41" name="MSIP_Label_0d0d896c-7307-4e3f-87b0-7d1d5d997a8c_SetDate">
    <vt:lpwstr>2026-06-10T18:49:05Z</vt:lpwstr>
  </property>
  <property fmtid="{D5CDD505-2E9C-101B-9397-08002B2CF9AE}" pid="42" name="MSIP_Label_0d0d896c-7307-4e3f-87b0-7d1d5d997a8c_Method">
    <vt:lpwstr>Privileged</vt:lpwstr>
  </property>
  <property fmtid="{D5CDD505-2E9C-101B-9397-08002B2CF9AE}" pid="43" name="MSIP_Label_0d0d896c-7307-4e3f-87b0-7d1d5d997a8c_Name">
    <vt:lpwstr>Public</vt:lpwstr>
  </property>
  <property fmtid="{D5CDD505-2E9C-101B-9397-08002B2CF9AE}" pid="44" name="MSIP_Label_0d0d896c-7307-4e3f-87b0-7d1d5d997a8c_SiteId">
    <vt:lpwstr>3425dff1-3121-4de4-a918-893fc94ebbbc</vt:lpwstr>
  </property>
  <property fmtid="{D5CDD505-2E9C-101B-9397-08002B2CF9AE}" pid="45" name="MSIP_Label_0d0d896c-7307-4e3f-87b0-7d1d5d997a8c_ActionId">
    <vt:lpwstr>83fe8990-9c2e-42bc-bc6a-e3dfbc4ce717</vt:lpwstr>
  </property>
  <property fmtid="{D5CDD505-2E9C-101B-9397-08002B2CF9AE}" pid="46" name="MSIP_Label_0d0d896c-7307-4e3f-87b0-7d1d5d997a8c_ContentBits">
    <vt:lpwstr>0</vt:lpwstr>
  </property>
  <property fmtid="{D5CDD505-2E9C-101B-9397-08002B2CF9AE}" pid="47" name="MSIP_Label_0d0d896c-7307-4e3f-87b0-7d1d5d997a8c_Tag">
    <vt:lpwstr>10, 0, 1, 1</vt:lpwstr>
  </property>
  <property fmtid="{D5CDD505-2E9C-101B-9397-08002B2CF9AE}" pid="48" name="MSIP_Label_d347b247-e90e-43a3-9d7b-004f14ae6873_Enabled">
    <vt:lpwstr>true</vt:lpwstr>
  </property>
  <property fmtid="{D5CDD505-2E9C-101B-9397-08002B2CF9AE}" pid="49" name="MSIP_Label_d347b247-e90e-43a3-9d7b-004f14ae6873_SetDate">
    <vt:lpwstr>2026-06-15T17:17:35Z</vt:lpwstr>
  </property>
  <property fmtid="{D5CDD505-2E9C-101B-9397-08002B2CF9AE}" pid="50" name="MSIP_Label_d347b247-e90e-43a3-9d7b-004f14ae6873_Method">
    <vt:lpwstr>Standard</vt:lpwstr>
  </property>
  <property fmtid="{D5CDD505-2E9C-101B-9397-08002B2CF9AE}" pid="51" name="MSIP_Label_d347b247-e90e-43a3-9d7b-004f14ae6873_Name">
    <vt:lpwstr>d347b247-e90e-43a3-9d7b-004f14ae6873</vt:lpwstr>
  </property>
  <property fmtid="{D5CDD505-2E9C-101B-9397-08002B2CF9AE}" pid="52" name="MSIP_Label_d347b247-e90e-43a3-9d7b-004f14ae6873_SiteId">
    <vt:lpwstr>76e3921f-489b-4b7e-9547-9ea297add9b5</vt:lpwstr>
  </property>
  <property fmtid="{D5CDD505-2E9C-101B-9397-08002B2CF9AE}" pid="53" name="MSIP_Label_d347b247-e90e-43a3-9d7b-004f14ae6873_ActionId">
    <vt:lpwstr>6c6fb48e-aa71-4cbf-8017-01dd229f47ab</vt:lpwstr>
  </property>
  <property fmtid="{D5CDD505-2E9C-101B-9397-08002B2CF9AE}" pid="54" name="MSIP_Label_d347b247-e90e-43a3-9d7b-004f14ae6873_ContentBits">
    <vt:lpwstr>0</vt:lpwstr>
  </property>
  <property fmtid="{D5CDD505-2E9C-101B-9397-08002B2CF9AE}" pid="55" name="MSIP_Label_d347b247-e90e-43a3-9d7b-004f14ae6873_Tag">
    <vt:lpwstr>10, 3, 0, 1</vt:lpwstr>
  </property>
</Properties>
</file>