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4DD9" w14:textId="77777777" w:rsidR="004A0858" w:rsidRDefault="004A0858">
      <w:pPr>
        <w:pStyle w:val="BodyText"/>
        <w:spacing w:before="2"/>
        <w:rPr>
          <w:sz w:val="7"/>
        </w:rPr>
      </w:pPr>
    </w:p>
    <w:p w14:paraId="6DB77437" w14:textId="77777777" w:rsidR="004A0858" w:rsidRDefault="00AB6BC4">
      <w:pPr>
        <w:pStyle w:val="BodyText"/>
        <w:ind w:left="3114"/>
        <w:rPr>
          <w:sz w:val="20"/>
        </w:rPr>
      </w:pPr>
      <w:r>
        <w:rPr>
          <w:noProof/>
          <w:sz w:val="20"/>
        </w:rPr>
        <w:drawing>
          <wp:inline distT="0" distB="0" distL="0" distR="0" wp14:anchorId="7421C888" wp14:editId="4F16FDEB">
            <wp:extent cx="2153012" cy="385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53012" cy="385000"/>
                    </a:xfrm>
                    <a:prstGeom prst="rect">
                      <a:avLst/>
                    </a:prstGeom>
                  </pic:spPr>
                </pic:pic>
              </a:graphicData>
            </a:graphic>
          </wp:inline>
        </w:drawing>
      </w:r>
    </w:p>
    <w:p w14:paraId="31F261E2" w14:textId="77777777" w:rsidR="004A0858" w:rsidRDefault="004A0858">
      <w:pPr>
        <w:pStyle w:val="BodyText"/>
      </w:pPr>
    </w:p>
    <w:p w14:paraId="3AA1F757" w14:textId="77777777" w:rsidR="004A0858" w:rsidRDefault="004A0858">
      <w:pPr>
        <w:pStyle w:val="BodyText"/>
      </w:pPr>
    </w:p>
    <w:p w14:paraId="729A8F15" w14:textId="77777777" w:rsidR="004A0858" w:rsidRDefault="004A0858">
      <w:pPr>
        <w:pStyle w:val="BodyText"/>
        <w:spacing w:before="43"/>
      </w:pPr>
    </w:p>
    <w:p w14:paraId="2E700799" w14:textId="75B9C30E" w:rsidR="004A0858" w:rsidRDefault="67F59147" w:rsidP="0030721B">
      <w:pPr>
        <w:pStyle w:val="BodyText"/>
        <w:spacing w:before="1"/>
      </w:pPr>
      <w:r>
        <w:t>June 8, 2026</w:t>
      </w:r>
    </w:p>
    <w:p w14:paraId="1AE052E0" w14:textId="77777777" w:rsidR="004A0858" w:rsidRDefault="004A0858">
      <w:pPr>
        <w:pStyle w:val="BodyText"/>
      </w:pPr>
    </w:p>
    <w:p w14:paraId="2AD80A22" w14:textId="727CEC77" w:rsidR="004A0858" w:rsidRPr="00AB62C8" w:rsidRDefault="00EC3893" w:rsidP="006035D1">
      <w:pPr>
        <w:pStyle w:val="BodyText"/>
        <w:spacing w:line="252" w:lineRule="exact"/>
      </w:pPr>
      <w:r w:rsidRPr="00AB62C8">
        <w:t>Mr. Ben Slutsker</w:t>
      </w:r>
      <w:r w:rsidR="00AB6BC4" w:rsidRPr="00AB62C8">
        <w:t>,</w:t>
      </w:r>
      <w:r w:rsidR="00AB6BC4" w:rsidRPr="00AB62C8">
        <w:rPr>
          <w:spacing w:val="-2"/>
        </w:rPr>
        <w:t xml:space="preserve"> </w:t>
      </w:r>
      <w:r w:rsidR="00AB6BC4" w:rsidRPr="00AB62C8">
        <w:rPr>
          <w:spacing w:val="-4"/>
        </w:rPr>
        <w:t>Chair</w:t>
      </w:r>
    </w:p>
    <w:p w14:paraId="6074E6DE" w14:textId="082077A7" w:rsidR="00B85438" w:rsidRPr="00AB62C8" w:rsidRDefault="00B85438" w:rsidP="006035D1">
      <w:pPr>
        <w:pStyle w:val="BodyText"/>
        <w:ind w:right="2034"/>
      </w:pPr>
      <w:r w:rsidRPr="00AB62C8">
        <w:t>Valuation Manual (VM)-22 (A) Subgroup</w:t>
      </w:r>
      <w:r w:rsidR="00526248" w:rsidRPr="00AB62C8">
        <w:t xml:space="preserve">, </w:t>
      </w:r>
      <w:r w:rsidR="00AB6BC4" w:rsidRPr="00AB62C8">
        <w:t>Life</w:t>
      </w:r>
      <w:r w:rsidR="00AB6BC4" w:rsidRPr="00AB62C8">
        <w:rPr>
          <w:spacing w:val="-3"/>
        </w:rPr>
        <w:t xml:space="preserve"> </w:t>
      </w:r>
      <w:r w:rsidR="00AB6BC4" w:rsidRPr="00AB62C8">
        <w:t>Actuarial</w:t>
      </w:r>
      <w:r w:rsidR="00AB6BC4" w:rsidRPr="00AB62C8">
        <w:rPr>
          <w:spacing w:val="-5"/>
        </w:rPr>
        <w:t xml:space="preserve"> </w:t>
      </w:r>
      <w:r w:rsidR="00AB6BC4" w:rsidRPr="00AB62C8">
        <w:t>(A)</w:t>
      </w:r>
      <w:r w:rsidR="00AB6BC4" w:rsidRPr="00AB62C8">
        <w:rPr>
          <w:spacing w:val="-2"/>
        </w:rPr>
        <w:t xml:space="preserve"> </w:t>
      </w:r>
      <w:r w:rsidR="00AB6BC4" w:rsidRPr="00AB62C8">
        <w:t>Task</w:t>
      </w:r>
      <w:r w:rsidR="00AB6BC4" w:rsidRPr="00AB62C8">
        <w:rPr>
          <w:spacing w:val="-3"/>
        </w:rPr>
        <w:t xml:space="preserve"> </w:t>
      </w:r>
      <w:r w:rsidR="00AB6BC4" w:rsidRPr="00AB62C8">
        <w:t>Force</w:t>
      </w:r>
      <w:r w:rsidR="00AB6BC4" w:rsidRPr="00AB62C8">
        <w:rPr>
          <w:spacing w:val="-5"/>
        </w:rPr>
        <w:t xml:space="preserve"> </w:t>
      </w:r>
      <w:r w:rsidR="00AB6BC4" w:rsidRPr="00AB62C8">
        <w:t xml:space="preserve">(LATF) </w:t>
      </w:r>
    </w:p>
    <w:p w14:paraId="3D097B04" w14:textId="0740EA9B" w:rsidR="004A0858" w:rsidRPr="00AB62C8" w:rsidRDefault="00AB6BC4" w:rsidP="006035D1">
      <w:pPr>
        <w:pStyle w:val="BodyText"/>
        <w:ind w:right="2034"/>
      </w:pPr>
      <w:r w:rsidRPr="00AB62C8">
        <w:t>National Association of Insurance Commissioners (NAIC)</w:t>
      </w:r>
    </w:p>
    <w:p w14:paraId="0AA2327F" w14:textId="3C5B0F2F" w:rsidR="00AE3EA0" w:rsidRPr="00AB62C8" w:rsidRDefault="00AB6BC4" w:rsidP="00CC346E">
      <w:pPr>
        <w:pStyle w:val="BodyText"/>
        <w:spacing w:before="252"/>
        <w:ind w:right="144"/>
        <w:rPr>
          <w:spacing w:val="-3"/>
        </w:rPr>
      </w:pPr>
      <w:r w:rsidRPr="00AB62C8">
        <w:t>Re:</w:t>
      </w:r>
      <w:r w:rsidRPr="00AB62C8">
        <w:rPr>
          <w:spacing w:val="-3"/>
        </w:rPr>
        <w:t xml:space="preserve"> </w:t>
      </w:r>
      <w:r w:rsidR="00CC346E" w:rsidRPr="00AB62C8">
        <w:rPr>
          <w:spacing w:val="-3"/>
        </w:rPr>
        <w:t>VM-22 Application to GICs, Funding Agreements, SGICs, and Stable Value Contracts</w:t>
      </w:r>
    </w:p>
    <w:p w14:paraId="74845BCB" w14:textId="1F923C50" w:rsidR="00DA4620" w:rsidRPr="00DA4620" w:rsidRDefault="3D41E612" w:rsidP="00DA4620">
      <w:pPr>
        <w:pStyle w:val="BodyText"/>
        <w:spacing w:before="252"/>
        <w:ind w:right="144"/>
      </w:pPr>
      <w:r>
        <w:t>Dear Chair Slutsker:</w:t>
      </w:r>
    </w:p>
    <w:p w14:paraId="044F89E4" w14:textId="4F64ED09" w:rsidR="00DA4620" w:rsidRDefault="00DA4620" w:rsidP="00DA4620">
      <w:pPr>
        <w:pStyle w:val="BodyText"/>
        <w:spacing w:before="252"/>
        <w:ind w:right="144"/>
      </w:pPr>
      <w:r w:rsidRPr="00DA4620">
        <w:t>On behalf of the Annuity Reserves and Capital Subcommittee (ARCS) of the American Academy of Actuaries,</w:t>
      </w:r>
      <w:r w:rsidRPr="71E9EC66">
        <w:rPr>
          <w:sz w:val="18"/>
          <w:szCs w:val="18"/>
          <w:vertAlign w:val="superscript"/>
        </w:rPr>
        <w:footnoteReference w:id="1"/>
      </w:r>
      <w:r w:rsidRPr="00DA4620">
        <w:t xml:space="preserve"> I appreciate the opportunity to comment on the recent exposure requesting discussion on the </w:t>
      </w:r>
      <w:r w:rsidR="00FF3AAB">
        <w:t xml:space="preserve">inclusion of </w:t>
      </w:r>
      <w:r w:rsidR="000131C2">
        <w:t>Guaranteed Investment Contracts</w:t>
      </w:r>
      <w:r w:rsidR="00B34DD0">
        <w:t xml:space="preserve"> (GICs)</w:t>
      </w:r>
      <w:r w:rsidR="000131C2">
        <w:t>, Synthetic Guaranteed Investment Contracts</w:t>
      </w:r>
      <w:r w:rsidR="007B5002">
        <w:t xml:space="preserve"> (SGICs)</w:t>
      </w:r>
      <w:r w:rsidR="000131C2">
        <w:t>, Funding Agreements</w:t>
      </w:r>
      <w:r w:rsidR="71E9EC66">
        <w:t>,</w:t>
      </w:r>
      <w:r w:rsidR="000131C2">
        <w:t xml:space="preserve"> and other Stable Value Contracts </w:t>
      </w:r>
      <w:r w:rsidR="00FF3AAB">
        <w:t xml:space="preserve">in </w:t>
      </w:r>
      <w:r w:rsidR="00DE53D2">
        <w:t xml:space="preserve">VM-22 </w:t>
      </w:r>
      <w:r w:rsidRPr="00DA4620">
        <w:t>and am pleased to provide the following comments.</w:t>
      </w:r>
    </w:p>
    <w:p w14:paraId="1F549558" w14:textId="77777777" w:rsidR="001A0C9D" w:rsidRPr="001A0C9D" w:rsidRDefault="001A0C9D" w:rsidP="001A0C9D">
      <w:pPr>
        <w:pStyle w:val="BodyText"/>
        <w:numPr>
          <w:ilvl w:val="0"/>
          <w:numId w:val="10"/>
        </w:numPr>
        <w:spacing w:before="252"/>
        <w:ind w:right="144"/>
        <w:rPr>
          <w:i/>
          <w:iCs/>
        </w:rPr>
      </w:pPr>
      <w:r w:rsidRPr="001A0C9D">
        <w:rPr>
          <w:i/>
          <w:iCs/>
        </w:rPr>
        <w:t xml:space="preserve">If some contracts are ultimately excluded from the scope of VM-22, what are specific product design/risk characteristics that could be listed as criteria for warranting such an exclusion? </w:t>
      </w:r>
    </w:p>
    <w:p w14:paraId="5DC45B38" w14:textId="12ACB53F" w:rsidR="000A6DA6" w:rsidRDefault="567F6E64" w:rsidP="001A0C9D">
      <w:pPr>
        <w:pStyle w:val="BodyText"/>
        <w:spacing w:before="252"/>
        <w:ind w:right="144"/>
      </w:pPr>
      <w:r>
        <w:t xml:space="preserve">The following could be used as exclusion criteria for products that exhibit </w:t>
      </w:r>
      <w:proofErr w:type="gramStart"/>
      <w:r>
        <w:t>all of</w:t>
      </w:r>
      <w:proofErr w:type="gramEnd"/>
      <w:r>
        <w:t xml:space="preserve"> the following product design and risk characteristics:</w:t>
      </w:r>
    </w:p>
    <w:p w14:paraId="44B06ABA" w14:textId="0CE36530" w:rsidR="00210DF0" w:rsidRDefault="00210DF0" w:rsidP="001A0C9D">
      <w:pPr>
        <w:pStyle w:val="BodyText"/>
        <w:numPr>
          <w:ilvl w:val="0"/>
          <w:numId w:val="11"/>
        </w:numPr>
        <w:spacing w:before="252"/>
        <w:ind w:right="144"/>
      </w:pPr>
      <w:r>
        <w:rPr>
          <w:b/>
          <w:bCs/>
        </w:rPr>
        <w:t xml:space="preserve">Limited </w:t>
      </w:r>
      <w:r w:rsidR="0055682D">
        <w:rPr>
          <w:b/>
          <w:bCs/>
        </w:rPr>
        <w:t>exposure to</w:t>
      </w:r>
      <w:r>
        <w:rPr>
          <w:b/>
          <w:bCs/>
        </w:rPr>
        <w:t xml:space="preserve"> policyholder </w:t>
      </w:r>
      <w:r w:rsidR="0055682D">
        <w:rPr>
          <w:b/>
          <w:bCs/>
        </w:rPr>
        <w:t>behavior and biometric risks</w:t>
      </w:r>
      <w:r w:rsidR="00E701B6">
        <w:t>:</w:t>
      </w:r>
      <w:r>
        <w:rPr>
          <w:b/>
          <w:bCs/>
        </w:rPr>
        <w:t xml:space="preserve"> </w:t>
      </w:r>
      <w:r w:rsidR="005464A5">
        <w:t xml:space="preserve">Products where liability cash flows are not materially sensitive to assumptions related to policyholder behavior (e.g., surrender or withdrawal timing) or biometric risks (e.g., mortality or longevity). This includes contracts with limited ability for policyholders or contract holders to alter the timing or amount of cash </w:t>
      </w:r>
      <w:proofErr w:type="gramStart"/>
      <w:r w:rsidR="005464A5">
        <w:t>flows</w:t>
      </w:r>
      <w:proofErr w:type="gramEnd"/>
      <w:r w:rsidR="005464A5">
        <w:t xml:space="preserve"> once issued</w:t>
      </w:r>
      <w:r>
        <w:t>.</w:t>
      </w:r>
    </w:p>
    <w:p w14:paraId="07827FA4" w14:textId="26AD4FBA" w:rsidR="00210DF0" w:rsidRDefault="567F6E64" w:rsidP="001A0C9D">
      <w:pPr>
        <w:pStyle w:val="BodyText"/>
        <w:numPr>
          <w:ilvl w:val="0"/>
          <w:numId w:val="11"/>
        </w:numPr>
        <w:spacing w:before="252"/>
        <w:ind w:right="144"/>
      </w:pPr>
      <w:r w:rsidRPr="567F6E64">
        <w:rPr>
          <w:b/>
          <w:bCs/>
        </w:rPr>
        <w:t>Short expected cash flow duration</w:t>
      </w:r>
      <w:r>
        <w:t>: Products where the liability runoff is limited (for example, below a defined threshold such as a few years), reducing exposure to reinvestment, interest rate, and long-tail risks.</w:t>
      </w:r>
      <w:r w:rsidR="00210DF0">
        <w:br/>
      </w:r>
      <w:r w:rsidRPr="567F6E64">
        <w:rPr>
          <w:rStyle w:val="Emphasis"/>
        </w:rPr>
        <w:t>Note:</w:t>
      </w:r>
      <w:r>
        <w:t xml:space="preserve"> Some products under consideration may span from 1 month to 10 years (or longer), so a clear duration threshold would need to be established.</w:t>
      </w:r>
    </w:p>
    <w:p w14:paraId="5116837E" w14:textId="450A41AC" w:rsidR="00E701B6" w:rsidRDefault="00210DF0" w:rsidP="00E701B6">
      <w:pPr>
        <w:pStyle w:val="BodyText"/>
        <w:numPr>
          <w:ilvl w:val="0"/>
          <w:numId w:val="11"/>
        </w:numPr>
        <w:spacing w:before="252"/>
        <w:ind w:right="144"/>
      </w:pPr>
      <w:r>
        <w:rPr>
          <w:b/>
          <w:bCs/>
        </w:rPr>
        <w:t xml:space="preserve">Absence </w:t>
      </w:r>
      <w:r>
        <w:rPr>
          <w:rStyle w:val="Strong"/>
        </w:rPr>
        <w:t>of material embedded optionality</w:t>
      </w:r>
      <w:r w:rsidR="00E701B6">
        <w:t>:</w:t>
      </w:r>
      <w:r>
        <w:t xml:space="preserve"> </w:t>
      </w:r>
      <w:r w:rsidR="00E701B6">
        <w:t>L</w:t>
      </w:r>
      <w:r>
        <w:t>iabilities that do not contain features that create asymmetric</w:t>
      </w:r>
      <w:r w:rsidR="000A27B3">
        <w:t xml:space="preserve">, </w:t>
      </w:r>
      <w:r>
        <w:t>path-</w:t>
      </w:r>
      <w:proofErr w:type="gramStart"/>
      <w:r>
        <w:t>dependent</w:t>
      </w:r>
      <w:proofErr w:type="gramEnd"/>
      <w:r w:rsidR="000A27B3">
        <w:t>, or market-contingent</w:t>
      </w:r>
      <w:r>
        <w:t xml:space="preserve"> outcomes</w:t>
      </w:r>
      <w:r w:rsidR="00B72A0E">
        <w:t xml:space="preserve"> (e.g., options or guarantees that materially increase sensitivity to economic scenarios).</w:t>
      </w:r>
    </w:p>
    <w:p w14:paraId="3A1D02D5" w14:textId="09E69D1D" w:rsidR="00CB4916" w:rsidRDefault="0029016A" w:rsidP="00E701B6">
      <w:pPr>
        <w:pStyle w:val="BodyText"/>
        <w:numPr>
          <w:ilvl w:val="0"/>
          <w:numId w:val="11"/>
        </w:numPr>
        <w:spacing w:before="252"/>
        <w:ind w:right="144"/>
      </w:pPr>
      <w:r>
        <w:rPr>
          <w:b/>
          <w:bCs/>
        </w:rPr>
        <w:t>M</w:t>
      </w:r>
      <w:r w:rsidR="00656054">
        <w:rPr>
          <w:b/>
          <w:bCs/>
        </w:rPr>
        <w:t xml:space="preserve">inimal </w:t>
      </w:r>
      <w:r>
        <w:rPr>
          <w:b/>
          <w:bCs/>
        </w:rPr>
        <w:t>asset-liability</w:t>
      </w:r>
      <w:r w:rsidR="00656054">
        <w:rPr>
          <w:b/>
          <w:bCs/>
        </w:rPr>
        <w:t xml:space="preserve"> mismatch</w:t>
      </w:r>
      <w:r>
        <w:rPr>
          <w:b/>
          <w:bCs/>
        </w:rPr>
        <w:t xml:space="preserve"> risk</w:t>
      </w:r>
      <w:r>
        <w:t xml:space="preserve">: </w:t>
      </w:r>
      <w:r w:rsidR="00C85546">
        <w:t xml:space="preserve">Liability and supporting asset cash flows are not </w:t>
      </w:r>
      <w:r w:rsidR="00C85546">
        <w:lastRenderedPageBreak/>
        <w:t>expected to produce material asset-liability mismatch risk under a range of economic conditions</w:t>
      </w:r>
      <w:r w:rsidR="00050A5A">
        <w:t>.</w:t>
      </w:r>
    </w:p>
    <w:p w14:paraId="3EF76267" w14:textId="1DF91021" w:rsidR="00606D32" w:rsidRPr="00716F93" w:rsidRDefault="00606D32" w:rsidP="00606D32">
      <w:pPr>
        <w:widowControl/>
        <w:autoSpaceDE/>
        <w:autoSpaceDN/>
        <w:spacing w:before="100" w:beforeAutospacing="1" w:after="100" w:afterAutospacing="1"/>
      </w:pPr>
      <w:r w:rsidRPr="00716F93">
        <w:t>Alternatively, for SGICs and other similar contracts, exclusion may be appropriate where the following conditions are met:</w:t>
      </w:r>
    </w:p>
    <w:p w14:paraId="56955858" w14:textId="621F1F2D" w:rsidR="00046CEC" w:rsidRDefault="00046CEC" w:rsidP="00046CEC">
      <w:pPr>
        <w:widowControl/>
        <w:numPr>
          <w:ilvl w:val="0"/>
          <w:numId w:val="13"/>
        </w:numPr>
        <w:autoSpaceDE/>
        <w:autoSpaceDN/>
        <w:spacing w:before="100" w:beforeAutospacing="1" w:after="100" w:afterAutospacing="1"/>
      </w:pPr>
      <w:r w:rsidRPr="00984BA8">
        <w:rPr>
          <w:b/>
          <w:bCs/>
        </w:rPr>
        <w:t>Contractual provisions materially limit tail risk exposure</w:t>
      </w:r>
      <w:r>
        <w:rPr>
          <w:b/>
          <w:bCs/>
        </w:rPr>
        <w:t xml:space="preserve"> or pass risk back to the contract</w:t>
      </w:r>
      <w:r w:rsidR="00C30751">
        <w:rPr>
          <w:b/>
          <w:bCs/>
        </w:rPr>
        <w:t xml:space="preserve"> </w:t>
      </w:r>
      <w:r>
        <w:rPr>
          <w:b/>
          <w:bCs/>
        </w:rPr>
        <w:t>holder</w:t>
      </w:r>
      <w:r w:rsidRPr="00984BA8">
        <w:t xml:space="preserve">: </w:t>
      </w:r>
      <w:r>
        <w:t>Features such as benefit-responsive withdrawal restrictions, market value adjustment mechanisms, experience rating mechanisms, or termination provisions can significantly reduce the likelihood of adverse, path-dependent outcomes under stressed scenarios. As a result, residual risks may be less aligned with the types of tail risks that a stochastic CTE70 framework is primarily intended to capture.</w:t>
      </w:r>
      <w:r w:rsidRPr="00984BA8">
        <w:t xml:space="preserve"> </w:t>
      </w:r>
      <w:r>
        <w:br/>
      </w:r>
    </w:p>
    <w:p w14:paraId="5ABA7646" w14:textId="53673BAE" w:rsidR="00606D32" w:rsidRDefault="00046CEC" w:rsidP="00046CEC">
      <w:pPr>
        <w:widowControl/>
        <w:numPr>
          <w:ilvl w:val="0"/>
          <w:numId w:val="13"/>
        </w:numPr>
        <w:autoSpaceDE/>
        <w:autoSpaceDN/>
        <w:spacing w:before="100" w:beforeAutospacing="1" w:after="100" w:afterAutospacing="1"/>
      </w:pPr>
      <w:r w:rsidRPr="00984BA8">
        <w:rPr>
          <w:b/>
          <w:bCs/>
        </w:rPr>
        <w:t>Risks are structurally constrained</w:t>
      </w:r>
      <w:r w:rsidRPr="00984BA8">
        <w:t xml:space="preserve">: Cash flows are driven by </w:t>
      </w:r>
      <w:r>
        <w:t xml:space="preserve">aggregate, </w:t>
      </w:r>
      <w:r w:rsidRPr="00984BA8">
        <w:t>plan-level activity</w:t>
      </w:r>
      <w:r>
        <w:t xml:space="preserve"> across </w:t>
      </w:r>
      <w:proofErr w:type="gramStart"/>
      <w:r>
        <w:t>a large number of</w:t>
      </w:r>
      <w:proofErr w:type="gramEnd"/>
      <w:r>
        <w:t xml:space="preserve"> individual participants</w:t>
      </w:r>
      <w:r w:rsidR="00096398">
        <w:t>,</w:t>
      </w:r>
      <w:r w:rsidRPr="00984BA8">
        <w:t xml:space="preserve"> </w:t>
      </w:r>
      <w:r>
        <w:t xml:space="preserve">and no single </w:t>
      </w:r>
      <w:r w:rsidR="001960C0">
        <w:t>participant or contract holder generally</w:t>
      </w:r>
      <w:r>
        <w:t xml:space="preserve"> has the</w:t>
      </w:r>
      <w:r w:rsidR="00A00DC4">
        <w:t xml:space="preserve"> </w:t>
      </w:r>
      <w:r w:rsidRPr="00984BA8">
        <w:t xml:space="preserve">discretion to </w:t>
      </w:r>
      <w:r>
        <w:t xml:space="preserve">exercise contractual features </w:t>
      </w:r>
      <w:r w:rsidRPr="00984BA8">
        <w:t xml:space="preserve">in a manner that </w:t>
      </w:r>
      <w:r w:rsidR="001960C0">
        <w:t xml:space="preserve">would </w:t>
      </w:r>
      <w:r>
        <w:t>significantly alter contractual payments</w:t>
      </w:r>
      <w:r w:rsidRPr="00984BA8">
        <w:t xml:space="preserve">. </w:t>
      </w:r>
      <w:r w:rsidR="002C2CED">
        <w:br/>
      </w:r>
    </w:p>
    <w:p w14:paraId="335C56DB" w14:textId="7CF802CB" w:rsidR="002C2CED" w:rsidRDefault="567F6E64" w:rsidP="567F6E64">
      <w:pPr>
        <w:widowControl/>
        <w:numPr>
          <w:ilvl w:val="0"/>
          <w:numId w:val="13"/>
        </w:numPr>
        <w:autoSpaceDE/>
        <w:spacing w:before="100" w:beforeAutospacing="1" w:after="100" w:afterAutospacing="1"/>
      </w:pPr>
      <w:r w:rsidRPr="567F6E64">
        <w:rPr>
          <w:b/>
          <w:bCs/>
        </w:rPr>
        <w:t>Risk attachment point is beyond the reserve level</w:t>
      </w:r>
      <w:r>
        <w:t xml:space="preserve">: Certain contracts may provide coverage only after plan or trust assets have been depleted before the insurer is required to make cash payments for residual benefits. In this case, the severity of the economic shock required for material payments to be made by the insurer may be beyond the level intended to be captured by the reserve framework. </w:t>
      </w:r>
    </w:p>
    <w:p w14:paraId="127C53E2" w14:textId="77777777" w:rsidR="00450170" w:rsidRDefault="00450170" w:rsidP="00450170">
      <w:pPr>
        <w:spacing w:before="100" w:beforeAutospacing="1" w:after="100" w:afterAutospacing="1"/>
      </w:pPr>
      <w:r>
        <w:t>The exclusion criteria above may result in certain payout annuity contracts that are currently within the scope of VM-22 being scoped out, particularly contracts exhibiting limited policyholder risk, minimal asset-liability mismatch risk, limited optionality, and relatively short durations. To the extent such contracts are excluded from VM-22, they would continue to be subject to applicable statutory reserving guidance outside of VM-22.</w:t>
      </w:r>
    </w:p>
    <w:p w14:paraId="098716FB" w14:textId="6D5129A2" w:rsidR="001A0C9D" w:rsidRPr="001A0C9D" w:rsidRDefault="001A0C9D" w:rsidP="001A0C9D">
      <w:pPr>
        <w:pStyle w:val="BodyText"/>
        <w:numPr>
          <w:ilvl w:val="0"/>
          <w:numId w:val="10"/>
        </w:numPr>
        <w:spacing w:before="252"/>
        <w:ind w:right="144"/>
        <w:rPr>
          <w:i/>
          <w:iCs/>
        </w:rPr>
      </w:pPr>
      <w:r w:rsidRPr="001A0C9D">
        <w:rPr>
          <w:i/>
          <w:iCs/>
        </w:rPr>
        <w:t xml:space="preserve">If these products continue to be excluded from VM-22, how would interest rate risk, credit spread risk, reinvestment risk, withdrawal risk, and tail scenarios regarding book value and market value differences be addressed? </w:t>
      </w:r>
    </w:p>
    <w:p w14:paraId="78CD2C9F" w14:textId="49A792B2" w:rsidR="00A54016" w:rsidRDefault="00A54016" w:rsidP="001A0C9D">
      <w:pPr>
        <w:pStyle w:val="BodyText"/>
        <w:spacing w:before="252"/>
        <w:ind w:right="144"/>
      </w:pPr>
      <w:r>
        <w:t xml:space="preserve">While </w:t>
      </w:r>
      <w:proofErr w:type="gramStart"/>
      <w:r>
        <w:t>current CARVM</w:t>
      </w:r>
      <w:proofErr w:type="gramEnd"/>
      <w:r>
        <w:t xml:space="preserve"> does not have a mechanism to</w:t>
      </w:r>
      <w:r w:rsidR="00210DF0">
        <w:t xml:space="preserve"> directly</w:t>
      </w:r>
      <w:r>
        <w:t xml:space="preserve"> reflect the asset risks posed in this question, a variety of other</w:t>
      </w:r>
      <w:r w:rsidR="00700651">
        <w:t xml:space="preserve"> regulatory and risk management</w:t>
      </w:r>
      <w:r>
        <w:t xml:space="preserve"> processes exist that </w:t>
      </w:r>
      <w:r w:rsidR="00A41EA4">
        <w:t xml:space="preserve">may </w:t>
      </w:r>
      <w:r w:rsidR="00210DF0">
        <w:t>help</w:t>
      </w:r>
      <w:r>
        <w:t xml:space="preserve"> address th</w:t>
      </w:r>
      <w:r w:rsidR="00210DF0">
        <w:t>e</w:t>
      </w:r>
      <w:r>
        <w:t>s</w:t>
      </w:r>
      <w:r w:rsidR="00210DF0">
        <w:t>e risks</w:t>
      </w:r>
      <w:r>
        <w:t>:</w:t>
      </w:r>
    </w:p>
    <w:p w14:paraId="49AB1823" w14:textId="249ED701" w:rsidR="00A54016" w:rsidRDefault="567F6E64" w:rsidP="00A54016">
      <w:pPr>
        <w:pStyle w:val="BodyText"/>
        <w:numPr>
          <w:ilvl w:val="0"/>
          <w:numId w:val="12"/>
        </w:numPr>
        <w:spacing w:before="252"/>
        <w:ind w:right="144"/>
      </w:pPr>
      <w:r w:rsidRPr="567F6E64">
        <w:rPr>
          <w:b/>
          <w:bCs/>
        </w:rPr>
        <w:t>Asset Adequacy Testing (AAT)</w:t>
      </w:r>
      <w:r>
        <w:t>: Intended to capture asset risk and asset-liability mismatch risk; however, it may not fully capture tail scenarios.</w:t>
      </w:r>
    </w:p>
    <w:p w14:paraId="2F348351" w14:textId="6BC6E14C" w:rsidR="00A54016" w:rsidRDefault="00A54016" w:rsidP="00A54016">
      <w:pPr>
        <w:pStyle w:val="BodyText"/>
        <w:numPr>
          <w:ilvl w:val="0"/>
          <w:numId w:val="12"/>
        </w:numPr>
        <w:spacing w:before="252"/>
        <w:ind w:right="144"/>
      </w:pPr>
      <w:r w:rsidRPr="00E701B6">
        <w:rPr>
          <w:b/>
          <w:bCs/>
        </w:rPr>
        <w:t>O</w:t>
      </w:r>
      <w:r w:rsidR="00302BCB">
        <w:rPr>
          <w:b/>
          <w:bCs/>
        </w:rPr>
        <w:t>wn Risk and Solvency Assessment (O</w:t>
      </w:r>
      <w:r w:rsidRPr="00E701B6">
        <w:rPr>
          <w:b/>
          <w:bCs/>
        </w:rPr>
        <w:t>RSA</w:t>
      </w:r>
      <w:r w:rsidR="00302BCB">
        <w:rPr>
          <w:b/>
          <w:bCs/>
        </w:rPr>
        <w:t>)</w:t>
      </w:r>
      <w:r>
        <w:t xml:space="preserve">: Intended to </w:t>
      </w:r>
      <w:r w:rsidR="00B61406">
        <w:t>i</w:t>
      </w:r>
      <w:r>
        <w:t>dentify, measure, and manage all material risks</w:t>
      </w:r>
      <w:r w:rsidR="00E701B6">
        <w:t>.</w:t>
      </w:r>
    </w:p>
    <w:p w14:paraId="69378397" w14:textId="32E72395" w:rsidR="00A54016" w:rsidRDefault="567F6E64" w:rsidP="00A54016">
      <w:pPr>
        <w:pStyle w:val="BodyText"/>
        <w:numPr>
          <w:ilvl w:val="0"/>
          <w:numId w:val="12"/>
        </w:numPr>
        <w:spacing w:before="252"/>
        <w:ind w:right="144"/>
      </w:pPr>
      <w:r w:rsidRPr="567F6E64">
        <w:rPr>
          <w:b/>
          <w:bCs/>
        </w:rPr>
        <w:t>Internal asset-liability management and other internal risk management frameworks</w:t>
      </w:r>
      <w:r>
        <w:t>: These vary by company and may or may not surface risks in a timely manner as conditions evolve.</w:t>
      </w:r>
    </w:p>
    <w:p w14:paraId="4DC5DA52" w14:textId="1306A5E1" w:rsidR="007664F6" w:rsidRDefault="007664F6" w:rsidP="00A54016">
      <w:pPr>
        <w:pStyle w:val="BodyText"/>
        <w:numPr>
          <w:ilvl w:val="0"/>
          <w:numId w:val="12"/>
        </w:numPr>
        <w:spacing w:before="252"/>
        <w:ind w:right="144"/>
      </w:pPr>
      <w:r>
        <w:rPr>
          <w:rStyle w:val="Strong"/>
        </w:rPr>
        <w:t>Product-specific</w:t>
      </w:r>
      <w:r w:rsidR="00A5109E">
        <w:rPr>
          <w:rStyle w:val="Strong"/>
        </w:rPr>
        <w:t xml:space="preserve"> and state-specific</w:t>
      </w:r>
      <w:r>
        <w:rPr>
          <w:rStyle w:val="Strong"/>
        </w:rPr>
        <w:t xml:space="preserve"> regulatory frameworks:</w:t>
      </w:r>
      <w:r>
        <w:t xml:space="preserve"> </w:t>
      </w:r>
      <w:r w:rsidR="0076347A">
        <w:t xml:space="preserve">Certain products may already be subject to product-specific requirements (e.g., NAIC Model Regulation 695 for SGICs), as well </w:t>
      </w:r>
      <w:r w:rsidR="0076347A">
        <w:lastRenderedPageBreak/>
        <w:t xml:space="preserve">as state-specific statutes, regulations, filing requirements, actuarial review, or other regulatory oversight processes intended to address reserve adequacy, asset-liability management, and supporting asset risks. However, </w:t>
      </w:r>
      <w:proofErr w:type="gramStart"/>
      <w:r w:rsidR="0076347A">
        <w:t>application</w:t>
      </w:r>
      <w:proofErr w:type="gramEnd"/>
      <w:r w:rsidR="0076347A">
        <w:t xml:space="preserve"> may vary across </w:t>
      </w:r>
      <w:r w:rsidR="00C75127">
        <w:t>states</w:t>
      </w:r>
      <w:r w:rsidR="0076347A">
        <w:t>, potentially resulting in differences in regulatory treatment for similar products</w:t>
      </w:r>
      <w:r>
        <w:t>.</w:t>
      </w:r>
    </w:p>
    <w:p w14:paraId="14E57D61" w14:textId="374D0A6A" w:rsidR="00A54016" w:rsidRDefault="00A54016" w:rsidP="00A54016">
      <w:pPr>
        <w:pStyle w:val="BodyText"/>
        <w:numPr>
          <w:ilvl w:val="0"/>
          <w:numId w:val="12"/>
        </w:numPr>
        <w:spacing w:before="252"/>
        <w:ind w:right="144"/>
      </w:pPr>
      <w:r w:rsidRPr="00E701B6">
        <w:rPr>
          <w:b/>
          <w:bCs/>
        </w:rPr>
        <w:t>Regulatory audit</w:t>
      </w:r>
      <w:r>
        <w:t>: May support or challenge the robustness and appropriateness of a company’s processes</w:t>
      </w:r>
      <w:r w:rsidR="00E701B6">
        <w:t xml:space="preserve">; </w:t>
      </w:r>
      <w:proofErr w:type="gramStart"/>
      <w:r w:rsidR="00E701B6">
        <w:t>typically</w:t>
      </w:r>
      <w:proofErr w:type="gramEnd"/>
      <w:r w:rsidR="00E701B6">
        <w:t xml:space="preserve"> infrequent and may lag emerging or rapidly developing risks.</w:t>
      </w:r>
    </w:p>
    <w:p w14:paraId="17534CB0" w14:textId="40BEA4EB" w:rsidR="007857C9" w:rsidRDefault="003A77B2" w:rsidP="001A0C9D">
      <w:pPr>
        <w:pStyle w:val="BodyText"/>
        <w:spacing w:before="252"/>
        <w:ind w:right="144"/>
      </w:pPr>
      <w:r>
        <w:t xml:space="preserve">However, each of these processes may be less robust than a true quarterly PBR framework, particularly given </w:t>
      </w:r>
      <w:r w:rsidR="00B259D2">
        <w:t>differences in frequency, scope, and consistency of application</w:t>
      </w:r>
      <w:r>
        <w:t>. To the extent the</w:t>
      </w:r>
      <w:r w:rsidR="00B259D2">
        <w:t>se processes</w:t>
      </w:r>
      <w:r>
        <w:t xml:space="preserve"> are performed less frequently than PBR, </w:t>
      </w:r>
      <w:r w:rsidR="00A3508B">
        <w:t xml:space="preserve">or are applied differently across jurisdictions, </w:t>
      </w:r>
      <w:r>
        <w:t>emerging experience that impacts reserves and/or solvency may only become visible to management and regulators with a delay</w:t>
      </w:r>
      <w:r w:rsidR="00B61406">
        <w:t xml:space="preserve">. </w:t>
      </w:r>
      <w:r w:rsidR="00A54016">
        <w:t xml:space="preserve"> </w:t>
      </w:r>
    </w:p>
    <w:p w14:paraId="29707B6B" w14:textId="4E223F79" w:rsidR="00DE7EBA" w:rsidRPr="00E701B6" w:rsidRDefault="001A0C9D" w:rsidP="0072334D">
      <w:pPr>
        <w:pStyle w:val="BodyText"/>
        <w:numPr>
          <w:ilvl w:val="0"/>
          <w:numId w:val="10"/>
        </w:numPr>
        <w:spacing w:before="252"/>
        <w:ind w:right="144"/>
        <w:rPr>
          <w:i/>
          <w:iCs/>
        </w:rPr>
      </w:pPr>
      <w:r w:rsidRPr="00E701B6">
        <w:rPr>
          <w:i/>
          <w:iCs/>
        </w:rPr>
        <w:t xml:space="preserve">Please describe the anticipated size and scope of costs for implementing these products? Do you believe the benefits of requiring VM-22 for these products outweigh the cost? </w:t>
      </w:r>
    </w:p>
    <w:p w14:paraId="06811753" w14:textId="718B615B" w:rsidR="00DE7EBA" w:rsidRPr="00DE7EBA" w:rsidRDefault="007B5002" w:rsidP="00DE7EBA">
      <w:pPr>
        <w:pStyle w:val="NormalWeb"/>
        <w:rPr>
          <w:sz w:val="22"/>
          <w:szCs w:val="22"/>
        </w:rPr>
      </w:pPr>
      <w:r>
        <w:rPr>
          <w:sz w:val="22"/>
          <w:szCs w:val="22"/>
        </w:rPr>
        <w:t>S</w:t>
      </w:r>
      <w:r w:rsidR="00DE7EBA" w:rsidRPr="00DE7EBA">
        <w:rPr>
          <w:sz w:val="22"/>
          <w:szCs w:val="22"/>
        </w:rPr>
        <w:t xml:space="preserve">uch costs </w:t>
      </w:r>
      <w:r>
        <w:rPr>
          <w:sz w:val="22"/>
          <w:szCs w:val="22"/>
        </w:rPr>
        <w:t>may</w:t>
      </w:r>
      <w:r w:rsidRPr="00DE7EBA">
        <w:rPr>
          <w:sz w:val="22"/>
          <w:szCs w:val="22"/>
        </w:rPr>
        <w:t xml:space="preserve"> </w:t>
      </w:r>
      <w:r w:rsidR="00DE7EBA" w:rsidRPr="00DE7EBA">
        <w:rPr>
          <w:sz w:val="22"/>
          <w:szCs w:val="22"/>
        </w:rPr>
        <w:t xml:space="preserve">vary based on company-specific modeling capabilities, product design, and current </w:t>
      </w:r>
      <w:proofErr w:type="gramStart"/>
      <w:r w:rsidR="00DE7EBA" w:rsidRPr="00DE7EBA">
        <w:rPr>
          <w:sz w:val="22"/>
          <w:szCs w:val="22"/>
        </w:rPr>
        <w:t>reserving</w:t>
      </w:r>
      <w:proofErr w:type="gramEnd"/>
      <w:r w:rsidR="00DE7EBA" w:rsidRPr="00DE7EBA">
        <w:rPr>
          <w:sz w:val="22"/>
          <w:szCs w:val="22"/>
        </w:rPr>
        <w:t xml:space="preserve"> practices.</w:t>
      </w:r>
    </w:p>
    <w:p w14:paraId="21686CDF" w14:textId="21F3F14F" w:rsidR="00DE7EBA" w:rsidRPr="00DE7EBA" w:rsidRDefault="00DE7EBA" w:rsidP="00DE7EBA">
      <w:pPr>
        <w:pStyle w:val="NormalWeb"/>
        <w:rPr>
          <w:sz w:val="22"/>
          <w:szCs w:val="22"/>
        </w:rPr>
      </w:pPr>
      <w:r w:rsidRPr="00DE7EBA">
        <w:rPr>
          <w:sz w:val="22"/>
          <w:szCs w:val="22"/>
        </w:rPr>
        <w:t>As noted in our prior comment letter</w:t>
      </w:r>
      <w:r>
        <w:rPr>
          <w:rStyle w:val="FootnoteReference"/>
          <w:sz w:val="22"/>
          <w:szCs w:val="22"/>
        </w:rPr>
        <w:footnoteReference w:id="2"/>
      </w:r>
      <w:r>
        <w:rPr>
          <w:sz w:val="22"/>
          <w:szCs w:val="22"/>
        </w:rPr>
        <w:t>,</w:t>
      </w:r>
      <w:r w:rsidRPr="00DE7EBA">
        <w:rPr>
          <w:sz w:val="22"/>
          <w:szCs w:val="22"/>
        </w:rPr>
        <w:t xml:space="preserve"> bringing these products into VM-22 would require additional modeling, memorandum disclosures, audit review, and potentially updates to VM-22 guidance where product-specific assumptions do not currently exist. </w:t>
      </w:r>
    </w:p>
    <w:p w14:paraId="3E2576D0" w14:textId="5FA6336A" w:rsidR="00DE7EBA" w:rsidRPr="00DE7EBA" w:rsidRDefault="567F6E64" w:rsidP="00DE7EBA">
      <w:pPr>
        <w:pStyle w:val="NormalWeb"/>
        <w:rPr>
          <w:sz w:val="22"/>
          <w:szCs w:val="22"/>
        </w:rPr>
      </w:pPr>
      <w:r w:rsidRPr="567F6E64">
        <w:rPr>
          <w:sz w:val="22"/>
          <w:szCs w:val="22"/>
        </w:rPr>
        <w:t>For example, for GICs and Funding Agreements, implementation may require updates to valuation models, assumptions, governance processes, and controls, particularly for products with floating-rate guarantees, index-linked crediting features, or other nontraditional structures. Conversely, these products may derive greater benefit from improved consistency and a more explicit reflection of interest rate, credit spread, reinvestment, and broader asset-liability mismatch risks.</w:t>
      </w:r>
    </w:p>
    <w:p w14:paraId="12517FFF" w14:textId="77777777" w:rsidR="001A0C9D" w:rsidRPr="001A0C9D" w:rsidRDefault="001A0C9D" w:rsidP="001A0C9D">
      <w:pPr>
        <w:pStyle w:val="BodyText"/>
        <w:numPr>
          <w:ilvl w:val="0"/>
          <w:numId w:val="10"/>
        </w:numPr>
        <w:spacing w:before="252"/>
        <w:ind w:right="144"/>
        <w:rPr>
          <w:i/>
          <w:iCs/>
        </w:rPr>
      </w:pPr>
      <w:r w:rsidRPr="001A0C9D">
        <w:rPr>
          <w:i/>
          <w:iCs/>
        </w:rPr>
        <w:t xml:space="preserve">What are potential impacts to reserve levels if scoping in these products? </w:t>
      </w:r>
    </w:p>
    <w:p w14:paraId="3A646ECC" w14:textId="431F87B8" w:rsidR="00DE7EBA" w:rsidRPr="00290D12" w:rsidRDefault="003C0C15" w:rsidP="00DE7EBA">
      <w:pPr>
        <w:pStyle w:val="NormalWeb"/>
        <w:rPr>
          <w:sz w:val="22"/>
          <w:szCs w:val="22"/>
        </w:rPr>
      </w:pPr>
      <w:r w:rsidRPr="003C0C15">
        <w:rPr>
          <w:sz w:val="22"/>
          <w:szCs w:val="22"/>
        </w:rPr>
        <w:t>The</w:t>
      </w:r>
      <w:r w:rsidRPr="003C0C15">
        <w:t xml:space="preserve"> </w:t>
      </w:r>
      <w:r w:rsidRPr="003C0C15">
        <w:rPr>
          <w:sz w:val="22"/>
          <w:szCs w:val="22"/>
        </w:rPr>
        <w:t xml:space="preserve">impact may vary meaningfully across </w:t>
      </w:r>
      <w:r w:rsidRPr="003C0C15">
        <w:rPr>
          <w:rStyle w:val="Strong"/>
          <w:b w:val="0"/>
          <w:bCs w:val="0"/>
          <w:sz w:val="22"/>
          <w:szCs w:val="22"/>
        </w:rPr>
        <w:t>GICs, Funding Agreements, SGICs, and Stable Value Contracts</w:t>
      </w:r>
      <w:r>
        <w:rPr>
          <w:sz w:val="22"/>
          <w:szCs w:val="22"/>
        </w:rPr>
        <w:t xml:space="preserve"> depending on contract design, asset strategy, withdrawal provisions, and the degree of asset-liability mismatch risk. </w:t>
      </w:r>
      <w:r w:rsidR="00290D12" w:rsidRPr="00290D12">
        <w:rPr>
          <w:sz w:val="22"/>
          <w:szCs w:val="22"/>
        </w:rPr>
        <w:t>The Academy has not performed product-specific modeling to quantify potential reserve impacts. However, several factors may influence reserve outcomes if these products are brought within the scope of VM-22.</w:t>
      </w:r>
    </w:p>
    <w:p w14:paraId="39FB4FE4" w14:textId="77777777" w:rsidR="00DE7EBA" w:rsidRPr="00DE7EBA" w:rsidRDefault="00DE7EBA" w:rsidP="00DE7EBA">
      <w:pPr>
        <w:pStyle w:val="NormalWeb"/>
        <w:rPr>
          <w:sz w:val="22"/>
          <w:szCs w:val="22"/>
        </w:rPr>
      </w:pPr>
      <w:r w:rsidRPr="00DE7EBA">
        <w:rPr>
          <w:sz w:val="22"/>
          <w:szCs w:val="22"/>
        </w:rPr>
        <w:t xml:space="preserve">For </w:t>
      </w:r>
      <w:r w:rsidRPr="00DE7EBA">
        <w:rPr>
          <w:rStyle w:val="Strong"/>
          <w:b w:val="0"/>
          <w:bCs w:val="0"/>
          <w:sz w:val="22"/>
          <w:szCs w:val="22"/>
        </w:rPr>
        <w:t>GICs and Funding Agreements</w:t>
      </w:r>
      <w:r w:rsidRPr="00DE7EBA">
        <w:rPr>
          <w:sz w:val="22"/>
          <w:szCs w:val="22"/>
        </w:rPr>
        <w:t>, VM-22 may result in reserves that are more responsive to interest rate, credit spread, reinvestment, and contract design risks, particularly for products with floating-rate guarantees, index-linked crediting features, or other nontraditional structures.</w:t>
      </w:r>
    </w:p>
    <w:p w14:paraId="7934B81D" w14:textId="77777777" w:rsidR="00DE7EBA" w:rsidRPr="00DE7EBA" w:rsidRDefault="00DE7EBA" w:rsidP="00DE7EBA">
      <w:pPr>
        <w:pStyle w:val="NormalWeb"/>
        <w:rPr>
          <w:sz w:val="22"/>
          <w:szCs w:val="22"/>
        </w:rPr>
      </w:pPr>
      <w:r w:rsidRPr="00DE7EBA">
        <w:rPr>
          <w:sz w:val="22"/>
          <w:szCs w:val="22"/>
        </w:rPr>
        <w:t xml:space="preserve">For </w:t>
      </w:r>
      <w:r w:rsidRPr="00DE7EBA">
        <w:rPr>
          <w:rStyle w:val="Strong"/>
          <w:b w:val="0"/>
          <w:bCs w:val="0"/>
          <w:sz w:val="22"/>
          <w:szCs w:val="22"/>
        </w:rPr>
        <w:t>SGICs and Stable Value Contracts</w:t>
      </w:r>
      <w:r w:rsidRPr="00DE7EBA">
        <w:rPr>
          <w:sz w:val="22"/>
          <w:szCs w:val="22"/>
        </w:rPr>
        <w:t>, reserve impacts would likely depend on factors such as the relationship between contract value and market value, underlying asset portfolios, benefit-responsive withdrawals, and termination provisions.</w:t>
      </w:r>
    </w:p>
    <w:p w14:paraId="76882C04" w14:textId="237FCC75" w:rsidR="00DE7EBA" w:rsidRPr="00DE7EBA" w:rsidRDefault="00DE7EBA" w:rsidP="00DE7EBA">
      <w:pPr>
        <w:pStyle w:val="NormalWeb"/>
        <w:rPr>
          <w:sz w:val="22"/>
          <w:szCs w:val="22"/>
        </w:rPr>
      </w:pPr>
      <w:r w:rsidRPr="00DE7EBA">
        <w:rPr>
          <w:sz w:val="22"/>
          <w:szCs w:val="22"/>
        </w:rPr>
        <w:lastRenderedPageBreak/>
        <w:t>As noted in our prior comment letter, current formulaic approaches may already produce reasonable reserve outcomes for certain products, particularly where risks are limited or addressed through existing statutory frameworks.</w:t>
      </w:r>
    </w:p>
    <w:p w14:paraId="37211F7C" w14:textId="58265AE1" w:rsidR="00DA4620" w:rsidRPr="00DA4620" w:rsidRDefault="67F59147" w:rsidP="67F59147">
      <w:pPr>
        <w:pStyle w:val="BodyText"/>
        <w:spacing w:before="252" w:line="259" w:lineRule="auto"/>
        <w:ind w:right="144"/>
      </w:pPr>
      <w:r>
        <w:t xml:space="preserve">Thank you for your consideration of these comments. Please contact </w:t>
      </w:r>
      <w:r w:rsidRPr="67F59147">
        <w:t>Marie Fabienne Amisial (</w:t>
      </w:r>
      <w:hyperlink r:id="rId9">
        <w:r w:rsidRPr="67F59147">
          <w:rPr>
            <w:rStyle w:val="Hyperlink"/>
          </w:rPr>
          <w:t>amisial@actuary.org</w:t>
        </w:r>
      </w:hyperlink>
      <w:r w:rsidRPr="67F59147">
        <w:t>), the Academy’s policy project manager, life, with any questions on this comment letter.</w:t>
      </w:r>
    </w:p>
    <w:p w14:paraId="7D790724" w14:textId="77777777" w:rsidR="00DA4620" w:rsidRPr="00DA4620" w:rsidRDefault="00DA4620" w:rsidP="00DA4620">
      <w:pPr>
        <w:pStyle w:val="BodyText"/>
        <w:spacing w:before="252"/>
        <w:ind w:right="144"/>
      </w:pPr>
    </w:p>
    <w:p w14:paraId="44CA56E6" w14:textId="5535D1A6" w:rsidR="00DA4620" w:rsidRPr="00DA4620" w:rsidRDefault="00DA4620" w:rsidP="00DA4620">
      <w:pPr>
        <w:pStyle w:val="BodyText"/>
        <w:ind w:right="144"/>
      </w:pPr>
      <w:r w:rsidRPr="00DA4620">
        <w:t>Sincerely,</w:t>
      </w:r>
    </w:p>
    <w:p w14:paraId="21748954" w14:textId="77777777" w:rsidR="00DA4620" w:rsidRPr="00DA4620" w:rsidRDefault="00DA4620" w:rsidP="00DA4620">
      <w:pPr>
        <w:pStyle w:val="BodyText"/>
        <w:ind w:right="144"/>
      </w:pPr>
      <w:r w:rsidRPr="00DA4620">
        <w:t>Bruce Friedland, MAAA, FSA</w:t>
      </w:r>
    </w:p>
    <w:p w14:paraId="0EC511D8" w14:textId="77777777" w:rsidR="00DA4620" w:rsidRPr="00DA4620" w:rsidRDefault="00DA4620" w:rsidP="00DA4620">
      <w:pPr>
        <w:pStyle w:val="BodyText"/>
        <w:ind w:right="144"/>
      </w:pPr>
      <w:r w:rsidRPr="00DA4620">
        <w:t>Chairperson, Annuity Reserves and Capital Subcommittee</w:t>
      </w:r>
    </w:p>
    <w:p w14:paraId="394A3308" w14:textId="77777777" w:rsidR="00DA4620" w:rsidRPr="00DA4620" w:rsidRDefault="00DA4620" w:rsidP="00DA4620">
      <w:pPr>
        <w:pStyle w:val="BodyText"/>
        <w:ind w:right="144"/>
      </w:pPr>
      <w:r w:rsidRPr="00DA4620">
        <w:t>American Academy of Actuaries</w:t>
      </w:r>
    </w:p>
    <w:p w14:paraId="5ED6DE7A" w14:textId="2922FC01" w:rsidR="004A0858" w:rsidRDefault="004A0858" w:rsidP="006035D1">
      <w:pPr>
        <w:pStyle w:val="BodyText"/>
        <w:spacing w:before="2"/>
        <w:ind w:right="3524"/>
      </w:pPr>
      <w:bookmarkStart w:id="0" w:name="_bookmark0"/>
      <w:bookmarkEnd w:id="0"/>
    </w:p>
    <w:sectPr w:rsidR="004A0858" w:rsidSect="002F6E58">
      <w:headerReference w:type="default" r:id="rId10"/>
      <w:footerReference w:type="default" r:id="rId11"/>
      <w:pgSz w:w="12240" w:h="15840"/>
      <w:pgMar w:top="1440" w:right="1440" w:bottom="1440" w:left="1440" w:header="763" w:footer="8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EE40" w14:textId="77777777" w:rsidR="004904D0" w:rsidRDefault="004904D0">
      <w:r>
        <w:separator/>
      </w:r>
    </w:p>
  </w:endnote>
  <w:endnote w:type="continuationSeparator" w:id="0">
    <w:p w14:paraId="3A4CB1D2" w14:textId="77777777" w:rsidR="004904D0" w:rsidRDefault="0049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5C5A" w14:textId="77777777" w:rsidR="004A0858" w:rsidRDefault="00AB6BC4">
    <w:pPr>
      <w:pStyle w:val="BodyText"/>
      <w:spacing w:line="14" w:lineRule="auto"/>
      <w:rPr>
        <w:sz w:val="20"/>
      </w:rPr>
    </w:pPr>
    <w:r>
      <w:rPr>
        <w:noProof/>
      </w:rPr>
      <mc:AlternateContent>
        <mc:Choice Requires="wps">
          <w:drawing>
            <wp:anchor distT="0" distB="0" distL="0" distR="0" simplePos="0" relativeHeight="487544320" behindDoc="1" locked="0" layoutInCell="1" allowOverlap="1" wp14:anchorId="7539F1AE" wp14:editId="4AF988E3">
              <wp:simplePos x="0" y="0"/>
              <wp:positionH relativeFrom="page">
                <wp:posOffset>965708</wp:posOffset>
              </wp:positionH>
              <wp:positionV relativeFrom="page">
                <wp:posOffset>9351009</wp:posOffset>
              </wp:positionV>
              <wp:extent cx="58540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065" cy="152400"/>
                      </a:xfrm>
                      <a:prstGeom prst="rect">
                        <a:avLst/>
                      </a:prstGeom>
                    </wps:spPr>
                    <wps:txbx>
                      <w:txbxContent>
                        <w:p w14:paraId="646A37E4" w14:textId="77777777" w:rsidR="004A0858" w:rsidRDefault="00AB6BC4">
                          <w:pPr>
                            <w:spacing w:before="12"/>
                            <w:ind w:left="20"/>
                            <w:rPr>
                              <w:sz w:val="18"/>
                            </w:rPr>
                          </w:pPr>
                          <w:r>
                            <w:rPr>
                              <w:sz w:val="18"/>
                            </w:rPr>
                            <w:t>1850</w:t>
                          </w:r>
                          <w:r>
                            <w:rPr>
                              <w:spacing w:val="-3"/>
                              <w:sz w:val="18"/>
                            </w:rPr>
                            <w:t xml:space="preserve"> </w:t>
                          </w:r>
                          <w:r>
                            <w:rPr>
                              <w:sz w:val="18"/>
                            </w:rPr>
                            <w:t>M Street</w:t>
                          </w:r>
                          <w:r>
                            <w:rPr>
                              <w:spacing w:val="-1"/>
                              <w:sz w:val="18"/>
                            </w:rPr>
                            <w:t xml:space="preserve"> </w:t>
                          </w:r>
                          <w:r>
                            <w:rPr>
                              <w:sz w:val="18"/>
                            </w:rPr>
                            <w:t>NW</w:t>
                          </w:r>
                          <w:r>
                            <w:rPr>
                              <w:spacing w:val="-3"/>
                              <w:sz w:val="18"/>
                            </w:rPr>
                            <w:t xml:space="preserve"> </w:t>
                          </w:r>
                          <w:r>
                            <w:rPr>
                              <w:sz w:val="18"/>
                            </w:rPr>
                            <w:t>Suite</w:t>
                          </w:r>
                          <w:r>
                            <w:rPr>
                              <w:spacing w:val="-4"/>
                              <w:sz w:val="18"/>
                            </w:rPr>
                            <w:t xml:space="preserve"> </w:t>
                          </w:r>
                          <w:r>
                            <w:rPr>
                              <w:sz w:val="18"/>
                            </w:rPr>
                            <w:t>300 Washington, DC</w:t>
                          </w:r>
                          <w:r>
                            <w:rPr>
                              <w:spacing w:val="-3"/>
                              <w:sz w:val="18"/>
                            </w:rPr>
                            <w:t xml:space="preserve"> </w:t>
                          </w:r>
                          <w:r>
                            <w:rPr>
                              <w:sz w:val="18"/>
                            </w:rPr>
                            <w:t>20036</w:t>
                          </w:r>
                          <w:r>
                            <w:rPr>
                              <w:spacing w:val="67"/>
                              <w:w w:val="150"/>
                              <w:sz w:val="18"/>
                            </w:rPr>
                            <w:t xml:space="preserve"> </w:t>
                          </w:r>
                          <w:r>
                            <w:rPr>
                              <w:sz w:val="18"/>
                            </w:rPr>
                            <w:t>|</w:t>
                          </w:r>
                          <w:r>
                            <w:rPr>
                              <w:spacing w:val="62"/>
                              <w:w w:val="150"/>
                              <w:sz w:val="18"/>
                            </w:rPr>
                            <w:t xml:space="preserve"> </w:t>
                          </w:r>
                          <w:r>
                            <w:rPr>
                              <w:sz w:val="18"/>
                            </w:rPr>
                            <w:t>Telephone</w:t>
                          </w:r>
                          <w:r>
                            <w:rPr>
                              <w:spacing w:val="-2"/>
                              <w:sz w:val="18"/>
                            </w:rPr>
                            <w:t xml:space="preserve"> </w:t>
                          </w:r>
                          <w:r>
                            <w:rPr>
                              <w:sz w:val="18"/>
                            </w:rPr>
                            <w:t>202-223-8196</w:t>
                          </w:r>
                          <w:r>
                            <w:rPr>
                              <w:spacing w:val="64"/>
                              <w:w w:val="150"/>
                              <w:sz w:val="18"/>
                            </w:rPr>
                            <w:t xml:space="preserve"> </w:t>
                          </w:r>
                          <w:r>
                            <w:rPr>
                              <w:sz w:val="18"/>
                            </w:rPr>
                            <w:t>|</w:t>
                          </w:r>
                          <w:r>
                            <w:rPr>
                              <w:spacing w:val="64"/>
                              <w:w w:val="150"/>
                              <w:sz w:val="18"/>
                            </w:rPr>
                            <w:t xml:space="preserve"> </w:t>
                          </w:r>
                          <w:r>
                            <w:rPr>
                              <w:sz w:val="18"/>
                            </w:rPr>
                            <w:t>Facsimile</w:t>
                          </w:r>
                          <w:r>
                            <w:rPr>
                              <w:spacing w:val="-2"/>
                              <w:sz w:val="18"/>
                            </w:rPr>
                            <w:t xml:space="preserve"> </w:t>
                          </w:r>
                          <w:r>
                            <w:rPr>
                              <w:sz w:val="18"/>
                            </w:rPr>
                            <w:t>202-872-1948</w:t>
                          </w:r>
                          <w:r>
                            <w:rPr>
                              <w:spacing w:val="64"/>
                              <w:w w:val="150"/>
                              <w:sz w:val="18"/>
                            </w:rPr>
                            <w:t xml:space="preserve"> </w:t>
                          </w:r>
                          <w:r>
                            <w:rPr>
                              <w:sz w:val="18"/>
                            </w:rPr>
                            <w:t>|</w:t>
                          </w:r>
                          <w:r>
                            <w:rPr>
                              <w:spacing w:val="64"/>
                              <w:w w:val="150"/>
                              <w:sz w:val="18"/>
                            </w:rPr>
                            <w:t xml:space="preserve"> </w:t>
                          </w:r>
                          <w:r>
                            <w:rPr>
                              <w:spacing w:val="-2"/>
                              <w:sz w:val="18"/>
                            </w:rPr>
                            <w:t>actuary.org</w:t>
                          </w:r>
                        </w:p>
                      </w:txbxContent>
                    </wps:txbx>
                    <wps:bodyPr wrap="square" lIns="0" tIns="0" rIns="0" bIns="0" rtlCol="0">
                      <a:noAutofit/>
                    </wps:bodyPr>
                  </wps:wsp>
                </a:graphicData>
              </a:graphic>
            </wp:anchor>
          </w:drawing>
        </mc:Choice>
        <mc:Fallback>
          <w:pict>
            <v:shapetype w14:anchorId="7539F1AE" id="_x0000_t202" coordsize="21600,21600" o:spt="202" path="m,l,21600r21600,l21600,xe">
              <v:stroke joinstyle="miter"/>
              <v:path gradientshapeok="t" o:connecttype="rect"/>
            </v:shapetype>
            <v:shape id="Textbox 2" o:spid="_x0000_s1027" type="#_x0000_t202" style="position:absolute;margin-left:76.05pt;margin-top:736.3pt;width:460.95pt;height:12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" filled="f" stroked="f">
              <v:textbox inset="0,0,0,0">
                <w:txbxContent>
                  <w:p w14:paraId="646A37E4" w14:textId="77777777" w:rsidR="004A0858" w:rsidRDefault="00AB6BC4">
                    <w:pPr>
                      <w:spacing w:before="12"/>
                      <w:ind w:left="20"/>
                      <w:rPr>
                        <w:sz w:val="18"/>
                      </w:rPr>
                    </w:pPr>
                    <w:r>
                      <w:rPr>
                        <w:sz w:val="18"/>
                      </w:rPr>
                      <w:t>1850</w:t>
                    </w:r>
                    <w:r>
                      <w:rPr>
                        <w:spacing w:val="-3"/>
                        <w:sz w:val="18"/>
                      </w:rPr>
                      <w:t xml:space="preserve"> </w:t>
                    </w:r>
                    <w:r>
                      <w:rPr>
                        <w:sz w:val="18"/>
                      </w:rPr>
                      <w:t>M Street</w:t>
                    </w:r>
                    <w:r>
                      <w:rPr>
                        <w:spacing w:val="-1"/>
                        <w:sz w:val="18"/>
                      </w:rPr>
                      <w:t xml:space="preserve"> </w:t>
                    </w:r>
                    <w:r>
                      <w:rPr>
                        <w:sz w:val="18"/>
                      </w:rPr>
                      <w:t>NW</w:t>
                    </w:r>
                    <w:r>
                      <w:rPr>
                        <w:spacing w:val="-3"/>
                        <w:sz w:val="18"/>
                      </w:rPr>
                      <w:t xml:space="preserve"> </w:t>
                    </w:r>
                    <w:r>
                      <w:rPr>
                        <w:sz w:val="18"/>
                      </w:rPr>
                      <w:t>Suite</w:t>
                    </w:r>
                    <w:r>
                      <w:rPr>
                        <w:spacing w:val="-4"/>
                        <w:sz w:val="18"/>
                      </w:rPr>
                      <w:t xml:space="preserve"> </w:t>
                    </w:r>
                    <w:r>
                      <w:rPr>
                        <w:sz w:val="18"/>
                      </w:rPr>
                      <w:t>300 Washington, DC</w:t>
                    </w:r>
                    <w:r>
                      <w:rPr>
                        <w:spacing w:val="-3"/>
                        <w:sz w:val="18"/>
                      </w:rPr>
                      <w:t xml:space="preserve"> </w:t>
                    </w:r>
                    <w:r>
                      <w:rPr>
                        <w:sz w:val="18"/>
                      </w:rPr>
                      <w:t>20036</w:t>
                    </w:r>
                    <w:r>
                      <w:rPr>
                        <w:spacing w:val="67"/>
                        <w:w w:val="150"/>
                        <w:sz w:val="18"/>
                      </w:rPr>
                      <w:t xml:space="preserve"> </w:t>
                    </w:r>
                    <w:r>
                      <w:rPr>
                        <w:sz w:val="18"/>
                      </w:rPr>
                      <w:t>|</w:t>
                    </w:r>
                    <w:r>
                      <w:rPr>
                        <w:spacing w:val="62"/>
                        <w:w w:val="150"/>
                        <w:sz w:val="18"/>
                      </w:rPr>
                      <w:t xml:space="preserve"> </w:t>
                    </w:r>
                    <w:r>
                      <w:rPr>
                        <w:sz w:val="18"/>
                      </w:rPr>
                      <w:t>Telephone</w:t>
                    </w:r>
                    <w:r>
                      <w:rPr>
                        <w:spacing w:val="-2"/>
                        <w:sz w:val="18"/>
                      </w:rPr>
                      <w:t xml:space="preserve"> </w:t>
                    </w:r>
                    <w:r>
                      <w:rPr>
                        <w:sz w:val="18"/>
                      </w:rPr>
                      <w:t>202-223-8196</w:t>
                    </w:r>
                    <w:r>
                      <w:rPr>
                        <w:spacing w:val="64"/>
                        <w:w w:val="150"/>
                        <w:sz w:val="18"/>
                      </w:rPr>
                      <w:t xml:space="preserve"> </w:t>
                    </w:r>
                    <w:r>
                      <w:rPr>
                        <w:sz w:val="18"/>
                      </w:rPr>
                      <w:t>|</w:t>
                    </w:r>
                    <w:r>
                      <w:rPr>
                        <w:spacing w:val="64"/>
                        <w:w w:val="150"/>
                        <w:sz w:val="18"/>
                      </w:rPr>
                      <w:t xml:space="preserve"> </w:t>
                    </w:r>
                    <w:r>
                      <w:rPr>
                        <w:sz w:val="18"/>
                      </w:rPr>
                      <w:t>Facsimile</w:t>
                    </w:r>
                    <w:r>
                      <w:rPr>
                        <w:spacing w:val="-2"/>
                        <w:sz w:val="18"/>
                      </w:rPr>
                      <w:t xml:space="preserve"> </w:t>
                    </w:r>
                    <w:r>
                      <w:rPr>
                        <w:sz w:val="18"/>
                      </w:rPr>
                      <w:t>202-872-1948</w:t>
                    </w:r>
                    <w:r>
                      <w:rPr>
                        <w:spacing w:val="64"/>
                        <w:w w:val="150"/>
                        <w:sz w:val="18"/>
                      </w:rPr>
                      <w:t xml:space="preserve"> </w:t>
                    </w:r>
                    <w:r>
                      <w:rPr>
                        <w:sz w:val="18"/>
                      </w:rPr>
                      <w:t>|</w:t>
                    </w:r>
                    <w:r>
                      <w:rPr>
                        <w:spacing w:val="64"/>
                        <w:w w:val="150"/>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D252" w14:textId="77777777" w:rsidR="004904D0" w:rsidRDefault="004904D0">
      <w:r>
        <w:separator/>
      </w:r>
    </w:p>
  </w:footnote>
  <w:footnote w:type="continuationSeparator" w:id="0">
    <w:p w14:paraId="10BD9CCF" w14:textId="77777777" w:rsidR="004904D0" w:rsidRDefault="004904D0">
      <w:r>
        <w:continuationSeparator/>
      </w:r>
    </w:p>
  </w:footnote>
  <w:footnote w:id="1">
    <w:p w14:paraId="22DDB63D" w14:textId="2CD90822" w:rsidR="00DA4620" w:rsidRPr="00DE7EBA" w:rsidRDefault="00DA4620" w:rsidP="00DA4620">
      <w:pPr>
        <w:pStyle w:val="FootnoteText"/>
        <w:rPr>
          <w:rFonts w:ascii="Times New Roman" w:hAnsi="Times New Roman" w:cs="Times New Roman"/>
        </w:rPr>
      </w:pPr>
      <w:r w:rsidRPr="00DE7EBA">
        <w:rPr>
          <w:rStyle w:val="FootnoteReference"/>
          <w:rFonts w:ascii="Times New Roman" w:hAnsi="Times New Roman" w:cs="Times New Roman"/>
        </w:rPr>
        <w:footnoteRef/>
      </w:r>
      <w:r w:rsidRPr="00DE7EBA">
        <w:rPr>
          <w:rFonts w:ascii="Times New Roman" w:hAnsi="Times New Roman" w:cs="Times New Roman"/>
        </w:rPr>
        <w:t xml:space="preserve"> The American Academy of Actuaries is a 20,000</w:t>
      </w:r>
      <w:r w:rsidR="00363635">
        <w:rPr>
          <w:rFonts w:ascii="Times New Roman" w:hAnsi="Times New Roman" w:cs="Times New Roman"/>
        </w:rPr>
        <w:t xml:space="preserve">-plus </w:t>
      </w:r>
      <w:r w:rsidRPr="00DE7EBA">
        <w:rPr>
          <w:rFonts w:ascii="Times New Roman" w:hAnsi="Times New Roman" w:cs="Times New Roman"/>
        </w:rPr>
        <w:t>member professional association whose mission is to serve the public and the U.S. actuarial profession. For 60 years, the Academy has assisted public policymakers on all levels by providing leadership, objective expertise, and actuarial advice on risk and financial security issues. The Academy also sets qualification, practice, and professionalism standards for actuaries in the United States.</w:t>
      </w:r>
    </w:p>
    <w:p w14:paraId="55ABB5BB" w14:textId="77777777" w:rsidR="00DE7EBA" w:rsidRDefault="00DE7EBA" w:rsidP="00DA4620">
      <w:pPr>
        <w:pStyle w:val="FootnoteText"/>
      </w:pPr>
    </w:p>
  </w:footnote>
  <w:footnote w:id="2">
    <w:p w14:paraId="267D3885" w14:textId="090C4CA5" w:rsidR="00DE7EBA" w:rsidRPr="00DE7EBA" w:rsidRDefault="00DE7EBA">
      <w:pPr>
        <w:pStyle w:val="FootnoteText"/>
        <w:rPr>
          <w:rFonts w:ascii="Times New Roman" w:hAnsi="Times New Roman" w:cs="Times New Roman"/>
        </w:rPr>
      </w:pPr>
      <w:r w:rsidRPr="00DE7EBA">
        <w:rPr>
          <w:rStyle w:val="FootnoteReference"/>
          <w:rFonts w:ascii="Times New Roman" w:hAnsi="Times New Roman" w:cs="Times New Roman"/>
        </w:rPr>
        <w:footnoteRef/>
      </w:r>
      <w:r w:rsidRPr="00DE7EBA">
        <w:rPr>
          <w:rFonts w:ascii="Times New Roman" w:hAnsi="Times New Roman" w:cs="Times New Roman"/>
        </w:rPr>
        <w:t xml:space="preserve"> Dated March 17, 2026, in response to the NAIC’s exposure regarding VM-22 Funding Agreements GIC Stable Value.</w:t>
      </w:r>
    </w:p>
    <w:p w14:paraId="68D23D9A" w14:textId="77777777" w:rsidR="00DE7EBA" w:rsidRDefault="00DE7E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86C3" w14:textId="77777777" w:rsidR="004A0858" w:rsidRDefault="00AB6BC4">
    <w:pPr>
      <w:pStyle w:val="BodyText"/>
      <w:spacing w:line="14" w:lineRule="auto"/>
      <w:rPr>
        <w:sz w:val="20"/>
      </w:rPr>
    </w:pPr>
    <w:r>
      <w:rPr>
        <w:noProof/>
      </w:rPr>
      <mc:AlternateContent>
        <mc:Choice Requires="wps">
          <w:drawing>
            <wp:anchor distT="0" distB="0" distL="0" distR="0" simplePos="0" relativeHeight="487543808" behindDoc="1" locked="0" layoutInCell="1" allowOverlap="1" wp14:anchorId="500C9D67" wp14:editId="0EFF5A5A">
              <wp:simplePos x="0" y="0"/>
              <wp:positionH relativeFrom="page">
                <wp:posOffset>6749795</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053CDC" w14:textId="77777777" w:rsidR="004A0858" w:rsidRDefault="00AB6BC4">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00C9D67" id="_x0000_t202" coordsize="21600,21600" o:spt="202" path="m,l,21600r21600,l21600,xe">
              <v:stroke joinstyle="miter"/>
              <v:path gradientshapeok="t" o:connecttype="rect"/>
            </v:shapetype>
            <v:shape id="Textbox 1" o:spid="_x0000_s1026" type="#_x0000_t202" style="position:absolute;margin-left:531.5pt;margin-top:37.15pt;width:12.6pt;height:13.0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" filled="f" stroked="f">
              <v:textbox inset="0,0,0,0">
                <w:txbxContent>
                  <w:p w14:paraId="62053CDC" w14:textId="77777777" w:rsidR="004A0858" w:rsidRDefault="00AB6BC4">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9E5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B7437"/>
    <w:multiLevelType w:val="hybridMultilevel"/>
    <w:tmpl w:val="41A856B8"/>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0C280E21"/>
    <w:multiLevelType w:val="hybridMultilevel"/>
    <w:tmpl w:val="648EFD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6D6D"/>
    <w:multiLevelType w:val="multilevel"/>
    <w:tmpl w:val="6CA67EAE"/>
    <w:lvl w:ilvl="0">
      <w:start w:val="1"/>
      <w:numFmt w:val="decimal"/>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45E22"/>
    <w:multiLevelType w:val="hybridMultilevel"/>
    <w:tmpl w:val="2632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B6B98"/>
    <w:multiLevelType w:val="hybridMultilevel"/>
    <w:tmpl w:val="06D0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539E8"/>
    <w:multiLevelType w:val="hybridMultilevel"/>
    <w:tmpl w:val="D48C7DBA"/>
    <w:lvl w:ilvl="0" w:tplc="406A9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F412C"/>
    <w:multiLevelType w:val="hybridMultilevel"/>
    <w:tmpl w:val="D6F6316A"/>
    <w:lvl w:ilvl="0" w:tplc="14845410">
      <w:start w:val="1"/>
      <w:numFmt w:val="lowerLetter"/>
      <w:lvlText w:val="%1.)"/>
      <w:lvlJc w:val="left"/>
      <w:pPr>
        <w:ind w:left="84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5FBADC6A">
      <w:start w:val="1"/>
      <w:numFmt w:val="lowerRoman"/>
      <w:lvlText w:val="%2."/>
      <w:lvlJc w:val="left"/>
      <w:pPr>
        <w:ind w:left="1560"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70B67524">
      <w:numFmt w:val="bullet"/>
      <w:lvlText w:val="•"/>
      <w:lvlJc w:val="left"/>
      <w:pPr>
        <w:ind w:left="2453" w:hanging="476"/>
      </w:pPr>
      <w:rPr>
        <w:rFonts w:hint="default"/>
        <w:lang w:val="en-US" w:eastAsia="en-US" w:bidi="ar-SA"/>
      </w:rPr>
    </w:lvl>
    <w:lvl w:ilvl="3" w:tplc="85B29768">
      <w:numFmt w:val="bullet"/>
      <w:lvlText w:val="•"/>
      <w:lvlJc w:val="left"/>
      <w:pPr>
        <w:ind w:left="3346" w:hanging="476"/>
      </w:pPr>
      <w:rPr>
        <w:rFonts w:hint="default"/>
        <w:lang w:val="en-US" w:eastAsia="en-US" w:bidi="ar-SA"/>
      </w:rPr>
    </w:lvl>
    <w:lvl w:ilvl="4" w:tplc="0338D34E">
      <w:numFmt w:val="bullet"/>
      <w:lvlText w:val="•"/>
      <w:lvlJc w:val="left"/>
      <w:pPr>
        <w:ind w:left="4240" w:hanging="476"/>
      </w:pPr>
      <w:rPr>
        <w:rFonts w:hint="default"/>
        <w:lang w:val="en-US" w:eastAsia="en-US" w:bidi="ar-SA"/>
      </w:rPr>
    </w:lvl>
    <w:lvl w:ilvl="5" w:tplc="E88833E4">
      <w:numFmt w:val="bullet"/>
      <w:lvlText w:val="•"/>
      <w:lvlJc w:val="left"/>
      <w:pPr>
        <w:ind w:left="5133" w:hanging="476"/>
      </w:pPr>
      <w:rPr>
        <w:rFonts w:hint="default"/>
        <w:lang w:val="en-US" w:eastAsia="en-US" w:bidi="ar-SA"/>
      </w:rPr>
    </w:lvl>
    <w:lvl w:ilvl="6" w:tplc="FD5417F0">
      <w:numFmt w:val="bullet"/>
      <w:lvlText w:val="•"/>
      <w:lvlJc w:val="left"/>
      <w:pPr>
        <w:ind w:left="6026" w:hanging="476"/>
      </w:pPr>
      <w:rPr>
        <w:rFonts w:hint="default"/>
        <w:lang w:val="en-US" w:eastAsia="en-US" w:bidi="ar-SA"/>
      </w:rPr>
    </w:lvl>
    <w:lvl w:ilvl="7" w:tplc="A6F6CCAA">
      <w:numFmt w:val="bullet"/>
      <w:lvlText w:val="•"/>
      <w:lvlJc w:val="left"/>
      <w:pPr>
        <w:ind w:left="6920" w:hanging="476"/>
      </w:pPr>
      <w:rPr>
        <w:rFonts w:hint="default"/>
        <w:lang w:val="en-US" w:eastAsia="en-US" w:bidi="ar-SA"/>
      </w:rPr>
    </w:lvl>
    <w:lvl w:ilvl="8" w:tplc="1444BC3C">
      <w:numFmt w:val="bullet"/>
      <w:lvlText w:val="•"/>
      <w:lvlJc w:val="left"/>
      <w:pPr>
        <w:ind w:left="7813" w:hanging="476"/>
      </w:pPr>
      <w:rPr>
        <w:rFonts w:hint="default"/>
        <w:lang w:val="en-US" w:eastAsia="en-US" w:bidi="ar-SA"/>
      </w:rPr>
    </w:lvl>
  </w:abstractNum>
  <w:abstractNum w:abstractNumId="8" w15:restartNumberingAfterBreak="0">
    <w:nsid w:val="565244CA"/>
    <w:multiLevelType w:val="hybridMultilevel"/>
    <w:tmpl w:val="FD4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36150"/>
    <w:multiLevelType w:val="hybridMultilevel"/>
    <w:tmpl w:val="AF1AE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AB5372"/>
    <w:multiLevelType w:val="multilevel"/>
    <w:tmpl w:val="9E3E61F8"/>
    <w:lvl w:ilvl="0">
      <w:start w:val="1"/>
      <w:numFmt w:val="decimal"/>
      <w:lvlText w:val="%1)"/>
      <w:lvlJc w:val="left"/>
      <w:pPr>
        <w:tabs>
          <w:tab w:val="num" w:pos="720"/>
        </w:tabs>
        <w:ind w:left="720" w:hanging="360"/>
      </w:pPr>
      <w:rPr>
        <w:b w:val="0"/>
        <w:bCs w:val="0"/>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D04C9"/>
    <w:multiLevelType w:val="hybridMultilevel"/>
    <w:tmpl w:val="26329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6169E0"/>
    <w:multiLevelType w:val="hybridMultilevel"/>
    <w:tmpl w:val="54A25AC0"/>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 w15:restartNumberingAfterBreak="0">
    <w:nsid w:val="7DF57EC6"/>
    <w:multiLevelType w:val="hybridMultilevel"/>
    <w:tmpl w:val="6B8A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79553">
    <w:abstractNumId w:val="7"/>
  </w:num>
  <w:num w:numId="2" w16cid:durableId="1248029585">
    <w:abstractNumId w:val="12"/>
  </w:num>
  <w:num w:numId="3" w16cid:durableId="1737897710">
    <w:abstractNumId w:val="1"/>
  </w:num>
  <w:num w:numId="4" w16cid:durableId="32662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527281">
    <w:abstractNumId w:val="13"/>
  </w:num>
  <w:num w:numId="6" w16cid:durableId="664358343">
    <w:abstractNumId w:val="6"/>
  </w:num>
  <w:num w:numId="7" w16cid:durableId="407658206">
    <w:abstractNumId w:val="5"/>
  </w:num>
  <w:num w:numId="8" w16cid:durableId="2029745346">
    <w:abstractNumId w:val="4"/>
  </w:num>
  <w:num w:numId="9" w16cid:durableId="1370497427">
    <w:abstractNumId w:val="11"/>
  </w:num>
  <w:num w:numId="10" w16cid:durableId="790168727">
    <w:abstractNumId w:val="0"/>
  </w:num>
  <w:num w:numId="11" w16cid:durableId="1067144901">
    <w:abstractNumId w:val="8"/>
  </w:num>
  <w:num w:numId="12" w16cid:durableId="167060506">
    <w:abstractNumId w:val="2"/>
  </w:num>
  <w:num w:numId="13" w16cid:durableId="169150028">
    <w:abstractNumId w:val="3"/>
  </w:num>
  <w:num w:numId="14" w16cid:durableId="50813345">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58"/>
    <w:rsid w:val="00001BFE"/>
    <w:rsid w:val="00004302"/>
    <w:rsid w:val="00007C2F"/>
    <w:rsid w:val="00012D3A"/>
    <w:rsid w:val="000131C2"/>
    <w:rsid w:val="0001746F"/>
    <w:rsid w:val="000178D9"/>
    <w:rsid w:val="00023767"/>
    <w:rsid w:val="00024E1C"/>
    <w:rsid w:val="0002573F"/>
    <w:rsid w:val="000304B7"/>
    <w:rsid w:val="00032B71"/>
    <w:rsid w:val="000330BD"/>
    <w:rsid w:val="000334BE"/>
    <w:rsid w:val="000362DE"/>
    <w:rsid w:val="000403BD"/>
    <w:rsid w:val="0004051A"/>
    <w:rsid w:val="0004104F"/>
    <w:rsid w:val="00042AD3"/>
    <w:rsid w:val="00042D6F"/>
    <w:rsid w:val="00043786"/>
    <w:rsid w:val="0004408A"/>
    <w:rsid w:val="00045697"/>
    <w:rsid w:val="000464CE"/>
    <w:rsid w:val="00046CEC"/>
    <w:rsid w:val="0005067A"/>
    <w:rsid w:val="00050A5A"/>
    <w:rsid w:val="00050B74"/>
    <w:rsid w:val="000515B5"/>
    <w:rsid w:val="0005230E"/>
    <w:rsid w:val="000539B2"/>
    <w:rsid w:val="00054054"/>
    <w:rsid w:val="000569B6"/>
    <w:rsid w:val="00056FFB"/>
    <w:rsid w:val="0006183F"/>
    <w:rsid w:val="00061B93"/>
    <w:rsid w:val="00062690"/>
    <w:rsid w:val="000653FA"/>
    <w:rsid w:val="00065608"/>
    <w:rsid w:val="000677D4"/>
    <w:rsid w:val="00071E43"/>
    <w:rsid w:val="00072008"/>
    <w:rsid w:val="000763D4"/>
    <w:rsid w:val="00076CCA"/>
    <w:rsid w:val="00077D9F"/>
    <w:rsid w:val="000804B5"/>
    <w:rsid w:val="00081C23"/>
    <w:rsid w:val="00082685"/>
    <w:rsid w:val="00082C8A"/>
    <w:rsid w:val="000847F5"/>
    <w:rsid w:val="00087157"/>
    <w:rsid w:val="0009001C"/>
    <w:rsid w:val="000903FB"/>
    <w:rsid w:val="00090AA6"/>
    <w:rsid w:val="00090B9E"/>
    <w:rsid w:val="00091455"/>
    <w:rsid w:val="00091630"/>
    <w:rsid w:val="00091B6B"/>
    <w:rsid w:val="0009302D"/>
    <w:rsid w:val="00096398"/>
    <w:rsid w:val="000A12A0"/>
    <w:rsid w:val="000A1C57"/>
    <w:rsid w:val="000A2606"/>
    <w:rsid w:val="000A27B3"/>
    <w:rsid w:val="000A559B"/>
    <w:rsid w:val="000A5D41"/>
    <w:rsid w:val="000A6DA6"/>
    <w:rsid w:val="000B1DC4"/>
    <w:rsid w:val="000B2104"/>
    <w:rsid w:val="000B3789"/>
    <w:rsid w:val="000B61D4"/>
    <w:rsid w:val="000C1A3B"/>
    <w:rsid w:val="000C2169"/>
    <w:rsid w:val="000C26EA"/>
    <w:rsid w:val="000C3BB8"/>
    <w:rsid w:val="000D2280"/>
    <w:rsid w:val="000D2974"/>
    <w:rsid w:val="000D4D3B"/>
    <w:rsid w:val="000E5DD3"/>
    <w:rsid w:val="000F1BFB"/>
    <w:rsid w:val="000F344C"/>
    <w:rsid w:val="000F3A46"/>
    <w:rsid w:val="000F489F"/>
    <w:rsid w:val="001020D4"/>
    <w:rsid w:val="00102156"/>
    <w:rsid w:val="001028EE"/>
    <w:rsid w:val="001039E4"/>
    <w:rsid w:val="00104D71"/>
    <w:rsid w:val="0010716F"/>
    <w:rsid w:val="00107540"/>
    <w:rsid w:val="00111055"/>
    <w:rsid w:val="00111221"/>
    <w:rsid w:val="00115339"/>
    <w:rsid w:val="00117C2A"/>
    <w:rsid w:val="00121F1F"/>
    <w:rsid w:val="00122A5C"/>
    <w:rsid w:val="00123275"/>
    <w:rsid w:val="00123C30"/>
    <w:rsid w:val="00123DB5"/>
    <w:rsid w:val="00124B1F"/>
    <w:rsid w:val="00125947"/>
    <w:rsid w:val="001264F5"/>
    <w:rsid w:val="00130585"/>
    <w:rsid w:val="00130BE7"/>
    <w:rsid w:val="00131994"/>
    <w:rsid w:val="00134507"/>
    <w:rsid w:val="00134A0E"/>
    <w:rsid w:val="001362B5"/>
    <w:rsid w:val="00137F39"/>
    <w:rsid w:val="00141085"/>
    <w:rsid w:val="00141866"/>
    <w:rsid w:val="00143D27"/>
    <w:rsid w:val="0014678B"/>
    <w:rsid w:val="001479A4"/>
    <w:rsid w:val="001511DC"/>
    <w:rsid w:val="00156C25"/>
    <w:rsid w:val="00157BEB"/>
    <w:rsid w:val="00160E10"/>
    <w:rsid w:val="00162D63"/>
    <w:rsid w:val="00165665"/>
    <w:rsid w:val="00165A42"/>
    <w:rsid w:val="00171D27"/>
    <w:rsid w:val="0017263C"/>
    <w:rsid w:val="00174DE1"/>
    <w:rsid w:val="00176BE4"/>
    <w:rsid w:val="00182883"/>
    <w:rsid w:val="001828A8"/>
    <w:rsid w:val="00183127"/>
    <w:rsid w:val="00183B3C"/>
    <w:rsid w:val="00184FED"/>
    <w:rsid w:val="00185FBF"/>
    <w:rsid w:val="00186478"/>
    <w:rsid w:val="00186D62"/>
    <w:rsid w:val="00186F3D"/>
    <w:rsid w:val="001900DE"/>
    <w:rsid w:val="001937BF"/>
    <w:rsid w:val="00195835"/>
    <w:rsid w:val="001960C0"/>
    <w:rsid w:val="001A0C9D"/>
    <w:rsid w:val="001A0E3B"/>
    <w:rsid w:val="001A1231"/>
    <w:rsid w:val="001A2CD0"/>
    <w:rsid w:val="001A48E3"/>
    <w:rsid w:val="001A565A"/>
    <w:rsid w:val="001A5DCD"/>
    <w:rsid w:val="001A6A26"/>
    <w:rsid w:val="001A75A0"/>
    <w:rsid w:val="001A7B20"/>
    <w:rsid w:val="001A7C4D"/>
    <w:rsid w:val="001B2F71"/>
    <w:rsid w:val="001B37FE"/>
    <w:rsid w:val="001C2F06"/>
    <w:rsid w:val="001D1CA9"/>
    <w:rsid w:val="001D26F4"/>
    <w:rsid w:val="001D381C"/>
    <w:rsid w:val="001D4B94"/>
    <w:rsid w:val="001D56E6"/>
    <w:rsid w:val="001E1448"/>
    <w:rsid w:val="001E1ACC"/>
    <w:rsid w:val="001E6BE0"/>
    <w:rsid w:val="001F0441"/>
    <w:rsid w:val="001F29AA"/>
    <w:rsid w:val="001F747C"/>
    <w:rsid w:val="00210DF0"/>
    <w:rsid w:val="002131CD"/>
    <w:rsid w:val="00217F59"/>
    <w:rsid w:val="002203E2"/>
    <w:rsid w:val="00220587"/>
    <w:rsid w:val="00220741"/>
    <w:rsid w:val="002214A0"/>
    <w:rsid w:val="00222C38"/>
    <w:rsid w:val="0022413E"/>
    <w:rsid w:val="002272AB"/>
    <w:rsid w:val="00230E3F"/>
    <w:rsid w:val="00232947"/>
    <w:rsid w:val="00232D66"/>
    <w:rsid w:val="00234FCF"/>
    <w:rsid w:val="00235A8C"/>
    <w:rsid w:val="00236E09"/>
    <w:rsid w:val="002475E7"/>
    <w:rsid w:val="00253147"/>
    <w:rsid w:val="00255F71"/>
    <w:rsid w:val="00257CB3"/>
    <w:rsid w:val="00266933"/>
    <w:rsid w:val="0026736E"/>
    <w:rsid w:val="00270D07"/>
    <w:rsid w:val="00273141"/>
    <w:rsid w:val="002731B8"/>
    <w:rsid w:val="002769E5"/>
    <w:rsid w:val="00282023"/>
    <w:rsid w:val="00282B51"/>
    <w:rsid w:val="00283227"/>
    <w:rsid w:val="00284AE4"/>
    <w:rsid w:val="00284DCA"/>
    <w:rsid w:val="00285501"/>
    <w:rsid w:val="0029016A"/>
    <w:rsid w:val="00290D12"/>
    <w:rsid w:val="00291B1B"/>
    <w:rsid w:val="002936AD"/>
    <w:rsid w:val="0029455F"/>
    <w:rsid w:val="00296E35"/>
    <w:rsid w:val="0029727A"/>
    <w:rsid w:val="00297FFC"/>
    <w:rsid w:val="002A1537"/>
    <w:rsid w:val="002A2E14"/>
    <w:rsid w:val="002B0685"/>
    <w:rsid w:val="002B079C"/>
    <w:rsid w:val="002B4045"/>
    <w:rsid w:val="002B5BD8"/>
    <w:rsid w:val="002B641D"/>
    <w:rsid w:val="002B6496"/>
    <w:rsid w:val="002C0028"/>
    <w:rsid w:val="002C098D"/>
    <w:rsid w:val="002C2CED"/>
    <w:rsid w:val="002C477F"/>
    <w:rsid w:val="002C5056"/>
    <w:rsid w:val="002D1E45"/>
    <w:rsid w:val="002D2B3A"/>
    <w:rsid w:val="002D2C1A"/>
    <w:rsid w:val="002D429C"/>
    <w:rsid w:val="002D47B9"/>
    <w:rsid w:val="002D7251"/>
    <w:rsid w:val="002D75B9"/>
    <w:rsid w:val="002E4AF6"/>
    <w:rsid w:val="002E4B2B"/>
    <w:rsid w:val="002E54B9"/>
    <w:rsid w:val="002E7B88"/>
    <w:rsid w:val="002F09CF"/>
    <w:rsid w:val="002F5AAA"/>
    <w:rsid w:val="002F6E58"/>
    <w:rsid w:val="00300692"/>
    <w:rsid w:val="00302BCB"/>
    <w:rsid w:val="003034DB"/>
    <w:rsid w:val="003058AB"/>
    <w:rsid w:val="0030721B"/>
    <w:rsid w:val="0030750D"/>
    <w:rsid w:val="00311054"/>
    <w:rsid w:val="003117DE"/>
    <w:rsid w:val="003124C7"/>
    <w:rsid w:val="003134BB"/>
    <w:rsid w:val="00317862"/>
    <w:rsid w:val="00321299"/>
    <w:rsid w:val="003237D2"/>
    <w:rsid w:val="00324EDA"/>
    <w:rsid w:val="00326193"/>
    <w:rsid w:val="00326A12"/>
    <w:rsid w:val="00330739"/>
    <w:rsid w:val="003320AB"/>
    <w:rsid w:val="00334157"/>
    <w:rsid w:val="003356DC"/>
    <w:rsid w:val="0033596A"/>
    <w:rsid w:val="00335AAA"/>
    <w:rsid w:val="003400C7"/>
    <w:rsid w:val="00343616"/>
    <w:rsid w:val="00344087"/>
    <w:rsid w:val="00344461"/>
    <w:rsid w:val="00346085"/>
    <w:rsid w:val="003470AB"/>
    <w:rsid w:val="003471C9"/>
    <w:rsid w:val="0035071E"/>
    <w:rsid w:val="00350E5C"/>
    <w:rsid w:val="00351E5A"/>
    <w:rsid w:val="0036167C"/>
    <w:rsid w:val="00363635"/>
    <w:rsid w:val="00364136"/>
    <w:rsid w:val="0037187F"/>
    <w:rsid w:val="00373158"/>
    <w:rsid w:val="003752E7"/>
    <w:rsid w:val="00376DEF"/>
    <w:rsid w:val="00385597"/>
    <w:rsid w:val="00387DC0"/>
    <w:rsid w:val="003908DC"/>
    <w:rsid w:val="00392836"/>
    <w:rsid w:val="003958C7"/>
    <w:rsid w:val="00397F74"/>
    <w:rsid w:val="003A1112"/>
    <w:rsid w:val="003A1421"/>
    <w:rsid w:val="003A35F9"/>
    <w:rsid w:val="003A406D"/>
    <w:rsid w:val="003A46FB"/>
    <w:rsid w:val="003A5F2D"/>
    <w:rsid w:val="003A70A4"/>
    <w:rsid w:val="003A73A4"/>
    <w:rsid w:val="003A77B2"/>
    <w:rsid w:val="003B071E"/>
    <w:rsid w:val="003B1B06"/>
    <w:rsid w:val="003B7F95"/>
    <w:rsid w:val="003C022D"/>
    <w:rsid w:val="003C06B4"/>
    <w:rsid w:val="003C0C15"/>
    <w:rsid w:val="003C2EE6"/>
    <w:rsid w:val="003C6BFC"/>
    <w:rsid w:val="003D12B7"/>
    <w:rsid w:val="003D2737"/>
    <w:rsid w:val="003D5CDC"/>
    <w:rsid w:val="003D5D1A"/>
    <w:rsid w:val="003D75C3"/>
    <w:rsid w:val="003D786C"/>
    <w:rsid w:val="003E10B9"/>
    <w:rsid w:val="003E2F9B"/>
    <w:rsid w:val="004020F2"/>
    <w:rsid w:val="00404141"/>
    <w:rsid w:val="004043A9"/>
    <w:rsid w:val="00407BDA"/>
    <w:rsid w:val="00412144"/>
    <w:rsid w:val="004133E1"/>
    <w:rsid w:val="00414395"/>
    <w:rsid w:val="00414E08"/>
    <w:rsid w:val="004176B4"/>
    <w:rsid w:val="00417C37"/>
    <w:rsid w:val="00421932"/>
    <w:rsid w:val="0042312A"/>
    <w:rsid w:val="0042452D"/>
    <w:rsid w:val="00427036"/>
    <w:rsid w:val="00431FCA"/>
    <w:rsid w:val="00433624"/>
    <w:rsid w:val="00433C2B"/>
    <w:rsid w:val="00433CEF"/>
    <w:rsid w:val="0043524F"/>
    <w:rsid w:val="00436763"/>
    <w:rsid w:val="00437C47"/>
    <w:rsid w:val="00442957"/>
    <w:rsid w:val="00445B31"/>
    <w:rsid w:val="00445C00"/>
    <w:rsid w:val="00446945"/>
    <w:rsid w:val="0044733B"/>
    <w:rsid w:val="00450170"/>
    <w:rsid w:val="00450E1E"/>
    <w:rsid w:val="00455A1B"/>
    <w:rsid w:val="00456570"/>
    <w:rsid w:val="0045671E"/>
    <w:rsid w:val="00457E3B"/>
    <w:rsid w:val="00461580"/>
    <w:rsid w:val="004616AD"/>
    <w:rsid w:val="00462F93"/>
    <w:rsid w:val="0046361E"/>
    <w:rsid w:val="00463ADE"/>
    <w:rsid w:val="00464954"/>
    <w:rsid w:val="00465410"/>
    <w:rsid w:val="004664E7"/>
    <w:rsid w:val="0046676B"/>
    <w:rsid w:val="0046744F"/>
    <w:rsid w:val="0047028E"/>
    <w:rsid w:val="004709B1"/>
    <w:rsid w:val="00471386"/>
    <w:rsid w:val="0047196A"/>
    <w:rsid w:val="004733FE"/>
    <w:rsid w:val="00476EDC"/>
    <w:rsid w:val="00477C3A"/>
    <w:rsid w:val="00483EA0"/>
    <w:rsid w:val="00486DBC"/>
    <w:rsid w:val="00487197"/>
    <w:rsid w:val="004904D0"/>
    <w:rsid w:val="00492458"/>
    <w:rsid w:val="00493FBF"/>
    <w:rsid w:val="0049416F"/>
    <w:rsid w:val="004954F3"/>
    <w:rsid w:val="00496587"/>
    <w:rsid w:val="004A0059"/>
    <w:rsid w:val="004A0858"/>
    <w:rsid w:val="004A31E7"/>
    <w:rsid w:val="004B18F2"/>
    <w:rsid w:val="004B4B09"/>
    <w:rsid w:val="004C1A3F"/>
    <w:rsid w:val="004C2FD5"/>
    <w:rsid w:val="004C77A0"/>
    <w:rsid w:val="004C7EC9"/>
    <w:rsid w:val="004E3ACC"/>
    <w:rsid w:val="004E43B7"/>
    <w:rsid w:val="004E57FD"/>
    <w:rsid w:val="004E5CA4"/>
    <w:rsid w:val="004E688B"/>
    <w:rsid w:val="004E7FD3"/>
    <w:rsid w:val="004E7FDA"/>
    <w:rsid w:val="004F5A85"/>
    <w:rsid w:val="004F6612"/>
    <w:rsid w:val="004F741A"/>
    <w:rsid w:val="0050029D"/>
    <w:rsid w:val="0050041C"/>
    <w:rsid w:val="00501F6A"/>
    <w:rsid w:val="00503C63"/>
    <w:rsid w:val="00505474"/>
    <w:rsid w:val="005066BE"/>
    <w:rsid w:val="00507412"/>
    <w:rsid w:val="00512096"/>
    <w:rsid w:val="00514AAA"/>
    <w:rsid w:val="005174A4"/>
    <w:rsid w:val="005225B1"/>
    <w:rsid w:val="00522CB9"/>
    <w:rsid w:val="00526051"/>
    <w:rsid w:val="00526248"/>
    <w:rsid w:val="005269B1"/>
    <w:rsid w:val="0052759A"/>
    <w:rsid w:val="00532CDF"/>
    <w:rsid w:val="00533338"/>
    <w:rsid w:val="00534A31"/>
    <w:rsid w:val="00534D61"/>
    <w:rsid w:val="0053520F"/>
    <w:rsid w:val="00536110"/>
    <w:rsid w:val="00541A88"/>
    <w:rsid w:val="005464A5"/>
    <w:rsid w:val="00546B31"/>
    <w:rsid w:val="0055682D"/>
    <w:rsid w:val="005632F0"/>
    <w:rsid w:val="00565F2A"/>
    <w:rsid w:val="00567598"/>
    <w:rsid w:val="00567FB8"/>
    <w:rsid w:val="00572EC3"/>
    <w:rsid w:val="00575F7B"/>
    <w:rsid w:val="00576DF7"/>
    <w:rsid w:val="00577C83"/>
    <w:rsid w:val="00584A18"/>
    <w:rsid w:val="00584F1A"/>
    <w:rsid w:val="00585641"/>
    <w:rsid w:val="005856B8"/>
    <w:rsid w:val="005904B4"/>
    <w:rsid w:val="00595F3C"/>
    <w:rsid w:val="005A11B1"/>
    <w:rsid w:val="005A6913"/>
    <w:rsid w:val="005A78B1"/>
    <w:rsid w:val="005B0491"/>
    <w:rsid w:val="005B3060"/>
    <w:rsid w:val="005B3591"/>
    <w:rsid w:val="005B4FCE"/>
    <w:rsid w:val="005B7E40"/>
    <w:rsid w:val="005C170B"/>
    <w:rsid w:val="005C2EF6"/>
    <w:rsid w:val="005C3B00"/>
    <w:rsid w:val="005C4306"/>
    <w:rsid w:val="005C4C4E"/>
    <w:rsid w:val="005C4F52"/>
    <w:rsid w:val="005C71E2"/>
    <w:rsid w:val="005D0B0E"/>
    <w:rsid w:val="005D0EB0"/>
    <w:rsid w:val="005D2091"/>
    <w:rsid w:val="005D4E23"/>
    <w:rsid w:val="005D7C46"/>
    <w:rsid w:val="005E28D0"/>
    <w:rsid w:val="005E5A73"/>
    <w:rsid w:val="005E6ED2"/>
    <w:rsid w:val="005F185E"/>
    <w:rsid w:val="005F486E"/>
    <w:rsid w:val="005F521B"/>
    <w:rsid w:val="005F780D"/>
    <w:rsid w:val="00601D5D"/>
    <w:rsid w:val="00601F12"/>
    <w:rsid w:val="0060283F"/>
    <w:rsid w:val="006035D1"/>
    <w:rsid w:val="006056EF"/>
    <w:rsid w:val="00606D32"/>
    <w:rsid w:val="00607D54"/>
    <w:rsid w:val="006114EC"/>
    <w:rsid w:val="006119CA"/>
    <w:rsid w:val="0061237F"/>
    <w:rsid w:val="00612E53"/>
    <w:rsid w:val="00613C69"/>
    <w:rsid w:val="006142D9"/>
    <w:rsid w:val="0062135C"/>
    <w:rsid w:val="00626591"/>
    <w:rsid w:val="00626EFD"/>
    <w:rsid w:val="00627DBA"/>
    <w:rsid w:val="00630ADD"/>
    <w:rsid w:val="00633E08"/>
    <w:rsid w:val="00634724"/>
    <w:rsid w:val="006349E8"/>
    <w:rsid w:val="00636CF0"/>
    <w:rsid w:val="00636D7E"/>
    <w:rsid w:val="0063743D"/>
    <w:rsid w:val="00640824"/>
    <w:rsid w:val="00641657"/>
    <w:rsid w:val="0064600F"/>
    <w:rsid w:val="006510E6"/>
    <w:rsid w:val="00651D7F"/>
    <w:rsid w:val="00654C71"/>
    <w:rsid w:val="00656054"/>
    <w:rsid w:val="0065659D"/>
    <w:rsid w:val="00656DC5"/>
    <w:rsid w:val="00661D51"/>
    <w:rsid w:val="006620FA"/>
    <w:rsid w:val="00664282"/>
    <w:rsid w:val="00665AE7"/>
    <w:rsid w:val="00666749"/>
    <w:rsid w:val="006676D4"/>
    <w:rsid w:val="00670ED5"/>
    <w:rsid w:val="00671C96"/>
    <w:rsid w:val="00671E88"/>
    <w:rsid w:val="006725D0"/>
    <w:rsid w:val="00687641"/>
    <w:rsid w:val="00692196"/>
    <w:rsid w:val="00696A77"/>
    <w:rsid w:val="00696DE2"/>
    <w:rsid w:val="006A1DD1"/>
    <w:rsid w:val="006A212A"/>
    <w:rsid w:val="006A292B"/>
    <w:rsid w:val="006A4777"/>
    <w:rsid w:val="006A6063"/>
    <w:rsid w:val="006A6D20"/>
    <w:rsid w:val="006A77B9"/>
    <w:rsid w:val="006B1CE2"/>
    <w:rsid w:val="006B2DE2"/>
    <w:rsid w:val="006B3930"/>
    <w:rsid w:val="006B5DBE"/>
    <w:rsid w:val="006C2571"/>
    <w:rsid w:val="006C5E8B"/>
    <w:rsid w:val="006C6F71"/>
    <w:rsid w:val="006D20B0"/>
    <w:rsid w:val="006D4E42"/>
    <w:rsid w:val="006D6237"/>
    <w:rsid w:val="006D7E62"/>
    <w:rsid w:val="006E3262"/>
    <w:rsid w:val="006E68F5"/>
    <w:rsid w:val="006E72C1"/>
    <w:rsid w:val="006E7AE5"/>
    <w:rsid w:val="006F1C88"/>
    <w:rsid w:val="006F70C5"/>
    <w:rsid w:val="00700651"/>
    <w:rsid w:val="00700747"/>
    <w:rsid w:val="00703075"/>
    <w:rsid w:val="00710FC2"/>
    <w:rsid w:val="00711517"/>
    <w:rsid w:val="00712E07"/>
    <w:rsid w:val="007131AC"/>
    <w:rsid w:val="00715C11"/>
    <w:rsid w:val="00716F93"/>
    <w:rsid w:val="00721CFD"/>
    <w:rsid w:val="00722C76"/>
    <w:rsid w:val="007235AF"/>
    <w:rsid w:val="00724ECE"/>
    <w:rsid w:val="00726C83"/>
    <w:rsid w:val="0073006E"/>
    <w:rsid w:val="0073136F"/>
    <w:rsid w:val="00732816"/>
    <w:rsid w:val="00737158"/>
    <w:rsid w:val="00737222"/>
    <w:rsid w:val="00740E3F"/>
    <w:rsid w:val="00750FF4"/>
    <w:rsid w:val="00751E1B"/>
    <w:rsid w:val="00754C58"/>
    <w:rsid w:val="007564C1"/>
    <w:rsid w:val="0076273F"/>
    <w:rsid w:val="0076347A"/>
    <w:rsid w:val="007664F6"/>
    <w:rsid w:val="007677AC"/>
    <w:rsid w:val="007704A1"/>
    <w:rsid w:val="00771CA0"/>
    <w:rsid w:val="00773A0B"/>
    <w:rsid w:val="00774664"/>
    <w:rsid w:val="007752BE"/>
    <w:rsid w:val="00775D9C"/>
    <w:rsid w:val="00777598"/>
    <w:rsid w:val="00781134"/>
    <w:rsid w:val="007857C9"/>
    <w:rsid w:val="007931B2"/>
    <w:rsid w:val="00797F74"/>
    <w:rsid w:val="007A33DB"/>
    <w:rsid w:val="007B13D3"/>
    <w:rsid w:val="007B39D0"/>
    <w:rsid w:val="007B5002"/>
    <w:rsid w:val="007B6B3F"/>
    <w:rsid w:val="007C60E7"/>
    <w:rsid w:val="007D0567"/>
    <w:rsid w:val="007D0EA6"/>
    <w:rsid w:val="007D0EE8"/>
    <w:rsid w:val="007D41B0"/>
    <w:rsid w:val="007D4412"/>
    <w:rsid w:val="007E352E"/>
    <w:rsid w:val="007E4E5D"/>
    <w:rsid w:val="007E63AB"/>
    <w:rsid w:val="007E66BE"/>
    <w:rsid w:val="007E7E85"/>
    <w:rsid w:val="007F0F3A"/>
    <w:rsid w:val="007F17A1"/>
    <w:rsid w:val="007F7370"/>
    <w:rsid w:val="00802460"/>
    <w:rsid w:val="008057D3"/>
    <w:rsid w:val="00810967"/>
    <w:rsid w:val="008111E0"/>
    <w:rsid w:val="008118D6"/>
    <w:rsid w:val="00813E4E"/>
    <w:rsid w:val="00814545"/>
    <w:rsid w:val="00814AFF"/>
    <w:rsid w:val="00814EB4"/>
    <w:rsid w:val="0081503A"/>
    <w:rsid w:val="00815C86"/>
    <w:rsid w:val="0081710A"/>
    <w:rsid w:val="00817480"/>
    <w:rsid w:val="00817F42"/>
    <w:rsid w:val="00822213"/>
    <w:rsid w:val="0082328D"/>
    <w:rsid w:val="00823341"/>
    <w:rsid w:val="00825A3B"/>
    <w:rsid w:val="008451E1"/>
    <w:rsid w:val="008463E5"/>
    <w:rsid w:val="00846C35"/>
    <w:rsid w:val="0085112A"/>
    <w:rsid w:val="008530A1"/>
    <w:rsid w:val="008540A9"/>
    <w:rsid w:val="0085417F"/>
    <w:rsid w:val="00857D3F"/>
    <w:rsid w:val="00862737"/>
    <w:rsid w:val="00863144"/>
    <w:rsid w:val="00863F42"/>
    <w:rsid w:val="00864226"/>
    <w:rsid w:val="00864D1E"/>
    <w:rsid w:val="00864F6D"/>
    <w:rsid w:val="0086558E"/>
    <w:rsid w:val="00865D07"/>
    <w:rsid w:val="00866A19"/>
    <w:rsid w:val="00866CF5"/>
    <w:rsid w:val="008678C8"/>
    <w:rsid w:val="0087083B"/>
    <w:rsid w:val="00871B4E"/>
    <w:rsid w:val="008726E9"/>
    <w:rsid w:val="00874536"/>
    <w:rsid w:val="008810AC"/>
    <w:rsid w:val="0088140C"/>
    <w:rsid w:val="0088248B"/>
    <w:rsid w:val="00883566"/>
    <w:rsid w:val="008920CA"/>
    <w:rsid w:val="00893BD7"/>
    <w:rsid w:val="00894C4A"/>
    <w:rsid w:val="0089753F"/>
    <w:rsid w:val="008A00D4"/>
    <w:rsid w:val="008A2550"/>
    <w:rsid w:val="008A37F2"/>
    <w:rsid w:val="008A510A"/>
    <w:rsid w:val="008A5380"/>
    <w:rsid w:val="008B5406"/>
    <w:rsid w:val="008B738C"/>
    <w:rsid w:val="008B7AC7"/>
    <w:rsid w:val="008B7D01"/>
    <w:rsid w:val="008C1411"/>
    <w:rsid w:val="008C21E3"/>
    <w:rsid w:val="008C7661"/>
    <w:rsid w:val="008D26DB"/>
    <w:rsid w:val="008D3C88"/>
    <w:rsid w:val="008D7A60"/>
    <w:rsid w:val="008E087E"/>
    <w:rsid w:val="008E0FF1"/>
    <w:rsid w:val="008E304A"/>
    <w:rsid w:val="008E525E"/>
    <w:rsid w:val="008E733C"/>
    <w:rsid w:val="008E7DA5"/>
    <w:rsid w:val="008F1F2C"/>
    <w:rsid w:val="008F1F7B"/>
    <w:rsid w:val="008F5285"/>
    <w:rsid w:val="008F67CB"/>
    <w:rsid w:val="00916387"/>
    <w:rsid w:val="00917EC9"/>
    <w:rsid w:val="00920EBA"/>
    <w:rsid w:val="00926B70"/>
    <w:rsid w:val="009270C6"/>
    <w:rsid w:val="009276A7"/>
    <w:rsid w:val="00930AED"/>
    <w:rsid w:val="00934FD5"/>
    <w:rsid w:val="00935CF4"/>
    <w:rsid w:val="00936E2D"/>
    <w:rsid w:val="00940ECD"/>
    <w:rsid w:val="009416C9"/>
    <w:rsid w:val="00941E47"/>
    <w:rsid w:val="009432DE"/>
    <w:rsid w:val="00947634"/>
    <w:rsid w:val="00951469"/>
    <w:rsid w:val="00952743"/>
    <w:rsid w:val="009544D4"/>
    <w:rsid w:val="00955D47"/>
    <w:rsid w:val="009564A1"/>
    <w:rsid w:val="009601AB"/>
    <w:rsid w:val="00960A9A"/>
    <w:rsid w:val="009651E9"/>
    <w:rsid w:val="009654C4"/>
    <w:rsid w:val="009655D9"/>
    <w:rsid w:val="0096588E"/>
    <w:rsid w:val="00966D7F"/>
    <w:rsid w:val="009673A4"/>
    <w:rsid w:val="0097198C"/>
    <w:rsid w:val="009744AB"/>
    <w:rsid w:val="00975BA8"/>
    <w:rsid w:val="00976AAB"/>
    <w:rsid w:val="00976F1E"/>
    <w:rsid w:val="00977313"/>
    <w:rsid w:val="0098047E"/>
    <w:rsid w:val="00980766"/>
    <w:rsid w:val="009808CB"/>
    <w:rsid w:val="0098200A"/>
    <w:rsid w:val="00982FDE"/>
    <w:rsid w:val="00983F0C"/>
    <w:rsid w:val="0098581A"/>
    <w:rsid w:val="00985BD9"/>
    <w:rsid w:val="009872FB"/>
    <w:rsid w:val="00990B59"/>
    <w:rsid w:val="0099209F"/>
    <w:rsid w:val="0099309F"/>
    <w:rsid w:val="009945B8"/>
    <w:rsid w:val="00995A62"/>
    <w:rsid w:val="00995FE5"/>
    <w:rsid w:val="009A0B5B"/>
    <w:rsid w:val="009A0BD9"/>
    <w:rsid w:val="009A1822"/>
    <w:rsid w:val="009A2637"/>
    <w:rsid w:val="009A6247"/>
    <w:rsid w:val="009A7BC6"/>
    <w:rsid w:val="009B180B"/>
    <w:rsid w:val="009B2B91"/>
    <w:rsid w:val="009B2CD4"/>
    <w:rsid w:val="009B44AD"/>
    <w:rsid w:val="009B49F3"/>
    <w:rsid w:val="009B51F9"/>
    <w:rsid w:val="009C4F3B"/>
    <w:rsid w:val="009C5C45"/>
    <w:rsid w:val="009C663D"/>
    <w:rsid w:val="009C6D48"/>
    <w:rsid w:val="009D077F"/>
    <w:rsid w:val="009D2CBD"/>
    <w:rsid w:val="009D3881"/>
    <w:rsid w:val="009D46C2"/>
    <w:rsid w:val="009D63E5"/>
    <w:rsid w:val="009D75C8"/>
    <w:rsid w:val="009E1BBB"/>
    <w:rsid w:val="009E305B"/>
    <w:rsid w:val="009E526F"/>
    <w:rsid w:val="009E7723"/>
    <w:rsid w:val="009F210E"/>
    <w:rsid w:val="009F35D7"/>
    <w:rsid w:val="009F4795"/>
    <w:rsid w:val="009F60BF"/>
    <w:rsid w:val="009F766E"/>
    <w:rsid w:val="00A00DC4"/>
    <w:rsid w:val="00A011B6"/>
    <w:rsid w:val="00A01296"/>
    <w:rsid w:val="00A03602"/>
    <w:rsid w:val="00A04513"/>
    <w:rsid w:val="00A10912"/>
    <w:rsid w:val="00A12A10"/>
    <w:rsid w:val="00A139FF"/>
    <w:rsid w:val="00A1417A"/>
    <w:rsid w:val="00A17727"/>
    <w:rsid w:val="00A17B5E"/>
    <w:rsid w:val="00A17E26"/>
    <w:rsid w:val="00A202BD"/>
    <w:rsid w:val="00A203DF"/>
    <w:rsid w:val="00A20C3E"/>
    <w:rsid w:val="00A2198F"/>
    <w:rsid w:val="00A300A1"/>
    <w:rsid w:val="00A3508B"/>
    <w:rsid w:val="00A36FBA"/>
    <w:rsid w:val="00A40968"/>
    <w:rsid w:val="00A41EA4"/>
    <w:rsid w:val="00A42433"/>
    <w:rsid w:val="00A43391"/>
    <w:rsid w:val="00A47DCD"/>
    <w:rsid w:val="00A5109E"/>
    <w:rsid w:val="00A54016"/>
    <w:rsid w:val="00A564E5"/>
    <w:rsid w:val="00A57801"/>
    <w:rsid w:val="00A643CD"/>
    <w:rsid w:val="00A65332"/>
    <w:rsid w:val="00A654EE"/>
    <w:rsid w:val="00A66B7F"/>
    <w:rsid w:val="00A70507"/>
    <w:rsid w:val="00A70F00"/>
    <w:rsid w:val="00A71E1A"/>
    <w:rsid w:val="00A807D6"/>
    <w:rsid w:val="00A80836"/>
    <w:rsid w:val="00A8428B"/>
    <w:rsid w:val="00A84CB6"/>
    <w:rsid w:val="00A853A9"/>
    <w:rsid w:val="00A86E6B"/>
    <w:rsid w:val="00A87B75"/>
    <w:rsid w:val="00A93B0D"/>
    <w:rsid w:val="00A94C68"/>
    <w:rsid w:val="00A96036"/>
    <w:rsid w:val="00A9716E"/>
    <w:rsid w:val="00AA0519"/>
    <w:rsid w:val="00AA25C3"/>
    <w:rsid w:val="00AA339D"/>
    <w:rsid w:val="00AA5706"/>
    <w:rsid w:val="00AA57A3"/>
    <w:rsid w:val="00AB5284"/>
    <w:rsid w:val="00AB62C8"/>
    <w:rsid w:val="00AB6A06"/>
    <w:rsid w:val="00AB6BC4"/>
    <w:rsid w:val="00AB70BC"/>
    <w:rsid w:val="00AC33E5"/>
    <w:rsid w:val="00AC407D"/>
    <w:rsid w:val="00AC68DC"/>
    <w:rsid w:val="00AD0766"/>
    <w:rsid w:val="00AD2019"/>
    <w:rsid w:val="00AD249E"/>
    <w:rsid w:val="00AD4773"/>
    <w:rsid w:val="00AD6CF6"/>
    <w:rsid w:val="00AE243B"/>
    <w:rsid w:val="00AE2584"/>
    <w:rsid w:val="00AE3EA0"/>
    <w:rsid w:val="00AF603B"/>
    <w:rsid w:val="00AF6F3E"/>
    <w:rsid w:val="00AF75F3"/>
    <w:rsid w:val="00B0238A"/>
    <w:rsid w:val="00B029AC"/>
    <w:rsid w:val="00B0773F"/>
    <w:rsid w:val="00B11D6E"/>
    <w:rsid w:val="00B12F81"/>
    <w:rsid w:val="00B13E5E"/>
    <w:rsid w:val="00B15767"/>
    <w:rsid w:val="00B17D9B"/>
    <w:rsid w:val="00B20CFD"/>
    <w:rsid w:val="00B23433"/>
    <w:rsid w:val="00B23EBF"/>
    <w:rsid w:val="00B259D2"/>
    <w:rsid w:val="00B25BC4"/>
    <w:rsid w:val="00B32102"/>
    <w:rsid w:val="00B32A03"/>
    <w:rsid w:val="00B33147"/>
    <w:rsid w:val="00B33163"/>
    <w:rsid w:val="00B34DD0"/>
    <w:rsid w:val="00B37E0E"/>
    <w:rsid w:val="00B47A81"/>
    <w:rsid w:val="00B47F95"/>
    <w:rsid w:val="00B52650"/>
    <w:rsid w:val="00B55A61"/>
    <w:rsid w:val="00B61406"/>
    <w:rsid w:val="00B63802"/>
    <w:rsid w:val="00B64882"/>
    <w:rsid w:val="00B676AA"/>
    <w:rsid w:val="00B717CE"/>
    <w:rsid w:val="00B71F68"/>
    <w:rsid w:val="00B72255"/>
    <w:rsid w:val="00B72A0E"/>
    <w:rsid w:val="00B72F21"/>
    <w:rsid w:val="00B7480A"/>
    <w:rsid w:val="00B75E9B"/>
    <w:rsid w:val="00B76E20"/>
    <w:rsid w:val="00B83521"/>
    <w:rsid w:val="00B840D7"/>
    <w:rsid w:val="00B85074"/>
    <w:rsid w:val="00B85438"/>
    <w:rsid w:val="00B864C7"/>
    <w:rsid w:val="00B91A69"/>
    <w:rsid w:val="00B942B0"/>
    <w:rsid w:val="00B96108"/>
    <w:rsid w:val="00B97724"/>
    <w:rsid w:val="00BA0171"/>
    <w:rsid w:val="00BA226A"/>
    <w:rsid w:val="00BA3DAC"/>
    <w:rsid w:val="00BA5F7C"/>
    <w:rsid w:val="00BA6A22"/>
    <w:rsid w:val="00BB0E76"/>
    <w:rsid w:val="00BB158A"/>
    <w:rsid w:val="00BB160A"/>
    <w:rsid w:val="00BB35B8"/>
    <w:rsid w:val="00BB4C20"/>
    <w:rsid w:val="00BB78D8"/>
    <w:rsid w:val="00BC1F3F"/>
    <w:rsid w:val="00BC2967"/>
    <w:rsid w:val="00BC2B8C"/>
    <w:rsid w:val="00BC401B"/>
    <w:rsid w:val="00BD6739"/>
    <w:rsid w:val="00BD68ED"/>
    <w:rsid w:val="00BD7B58"/>
    <w:rsid w:val="00BE1513"/>
    <w:rsid w:val="00BE16C6"/>
    <w:rsid w:val="00BE25E0"/>
    <w:rsid w:val="00BF08E6"/>
    <w:rsid w:val="00BF14B1"/>
    <w:rsid w:val="00BF1DFC"/>
    <w:rsid w:val="00BF31FB"/>
    <w:rsid w:val="00BF50CC"/>
    <w:rsid w:val="00BF7203"/>
    <w:rsid w:val="00C01A28"/>
    <w:rsid w:val="00C025F3"/>
    <w:rsid w:val="00C04446"/>
    <w:rsid w:val="00C053C7"/>
    <w:rsid w:val="00C10081"/>
    <w:rsid w:val="00C121FE"/>
    <w:rsid w:val="00C17485"/>
    <w:rsid w:val="00C17530"/>
    <w:rsid w:val="00C17F4B"/>
    <w:rsid w:val="00C17FC1"/>
    <w:rsid w:val="00C21ED8"/>
    <w:rsid w:val="00C23784"/>
    <w:rsid w:val="00C30073"/>
    <w:rsid w:val="00C30751"/>
    <w:rsid w:val="00C3531F"/>
    <w:rsid w:val="00C35674"/>
    <w:rsid w:val="00C42788"/>
    <w:rsid w:val="00C42D2C"/>
    <w:rsid w:val="00C42D4B"/>
    <w:rsid w:val="00C43DB9"/>
    <w:rsid w:val="00C4534D"/>
    <w:rsid w:val="00C455A7"/>
    <w:rsid w:val="00C514E9"/>
    <w:rsid w:val="00C53033"/>
    <w:rsid w:val="00C561DB"/>
    <w:rsid w:val="00C56B65"/>
    <w:rsid w:val="00C60B52"/>
    <w:rsid w:val="00C63379"/>
    <w:rsid w:val="00C67A69"/>
    <w:rsid w:val="00C67E56"/>
    <w:rsid w:val="00C70842"/>
    <w:rsid w:val="00C723FB"/>
    <w:rsid w:val="00C72D6F"/>
    <w:rsid w:val="00C75127"/>
    <w:rsid w:val="00C77EF7"/>
    <w:rsid w:val="00C80A08"/>
    <w:rsid w:val="00C81F5F"/>
    <w:rsid w:val="00C84187"/>
    <w:rsid w:val="00C8444A"/>
    <w:rsid w:val="00C85546"/>
    <w:rsid w:val="00C868AF"/>
    <w:rsid w:val="00C86A0B"/>
    <w:rsid w:val="00C87F69"/>
    <w:rsid w:val="00C91B21"/>
    <w:rsid w:val="00C91B2C"/>
    <w:rsid w:val="00C924CE"/>
    <w:rsid w:val="00C929DD"/>
    <w:rsid w:val="00CA0BF5"/>
    <w:rsid w:val="00CA4427"/>
    <w:rsid w:val="00CA7B6F"/>
    <w:rsid w:val="00CB065A"/>
    <w:rsid w:val="00CB0B75"/>
    <w:rsid w:val="00CB3159"/>
    <w:rsid w:val="00CB3B67"/>
    <w:rsid w:val="00CB4916"/>
    <w:rsid w:val="00CC07B9"/>
    <w:rsid w:val="00CC1182"/>
    <w:rsid w:val="00CC12F5"/>
    <w:rsid w:val="00CC301A"/>
    <w:rsid w:val="00CC346E"/>
    <w:rsid w:val="00CC6E15"/>
    <w:rsid w:val="00CD12B3"/>
    <w:rsid w:val="00CD4994"/>
    <w:rsid w:val="00CD62B6"/>
    <w:rsid w:val="00CD63B2"/>
    <w:rsid w:val="00CD7BDA"/>
    <w:rsid w:val="00CE1BFC"/>
    <w:rsid w:val="00CE30F2"/>
    <w:rsid w:val="00CE4B15"/>
    <w:rsid w:val="00CE64DA"/>
    <w:rsid w:val="00CF22C2"/>
    <w:rsid w:val="00CF24A4"/>
    <w:rsid w:val="00CF4381"/>
    <w:rsid w:val="00CF4BE9"/>
    <w:rsid w:val="00CF5958"/>
    <w:rsid w:val="00CF5D78"/>
    <w:rsid w:val="00CF7037"/>
    <w:rsid w:val="00D031C8"/>
    <w:rsid w:val="00D0464D"/>
    <w:rsid w:val="00D06338"/>
    <w:rsid w:val="00D156B5"/>
    <w:rsid w:val="00D16F93"/>
    <w:rsid w:val="00D17B1C"/>
    <w:rsid w:val="00D20FB9"/>
    <w:rsid w:val="00D243B8"/>
    <w:rsid w:val="00D25985"/>
    <w:rsid w:val="00D35A98"/>
    <w:rsid w:val="00D41E23"/>
    <w:rsid w:val="00D43492"/>
    <w:rsid w:val="00D45DEC"/>
    <w:rsid w:val="00D46077"/>
    <w:rsid w:val="00D46276"/>
    <w:rsid w:val="00D4720B"/>
    <w:rsid w:val="00D50608"/>
    <w:rsid w:val="00D53F06"/>
    <w:rsid w:val="00D54B82"/>
    <w:rsid w:val="00D6134C"/>
    <w:rsid w:val="00D64223"/>
    <w:rsid w:val="00D66B79"/>
    <w:rsid w:val="00D67633"/>
    <w:rsid w:val="00D67F3E"/>
    <w:rsid w:val="00D741A6"/>
    <w:rsid w:val="00D779DF"/>
    <w:rsid w:val="00D84934"/>
    <w:rsid w:val="00D85DD4"/>
    <w:rsid w:val="00D866E5"/>
    <w:rsid w:val="00D875FA"/>
    <w:rsid w:val="00D913B0"/>
    <w:rsid w:val="00D91EF6"/>
    <w:rsid w:val="00D93117"/>
    <w:rsid w:val="00D95F0A"/>
    <w:rsid w:val="00D961B0"/>
    <w:rsid w:val="00DA0C3C"/>
    <w:rsid w:val="00DA13D4"/>
    <w:rsid w:val="00DA1A79"/>
    <w:rsid w:val="00DA4620"/>
    <w:rsid w:val="00DA4852"/>
    <w:rsid w:val="00DA4948"/>
    <w:rsid w:val="00DA5027"/>
    <w:rsid w:val="00DB2194"/>
    <w:rsid w:val="00DB2BAF"/>
    <w:rsid w:val="00DB311A"/>
    <w:rsid w:val="00DB7869"/>
    <w:rsid w:val="00DC0131"/>
    <w:rsid w:val="00DC06EA"/>
    <w:rsid w:val="00DC07D0"/>
    <w:rsid w:val="00DC4A69"/>
    <w:rsid w:val="00DC6F8D"/>
    <w:rsid w:val="00DD0924"/>
    <w:rsid w:val="00DD159A"/>
    <w:rsid w:val="00DD2B0C"/>
    <w:rsid w:val="00DD4B1D"/>
    <w:rsid w:val="00DE067E"/>
    <w:rsid w:val="00DE15CE"/>
    <w:rsid w:val="00DE249A"/>
    <w:rsid w:val="00DE298E"/>
    <w:rsid w:val="00DE30FA"/>
    <w:rsid w:val="00DE53D2"/>
    <w:rsid w:val="00DE621C"/>
    <w:rsid w:val="00DE6CAE"/>
    <w:rsid w:val="00DE7EBA"/>
    <w:rsid w:val="00DF432A"/>
    <w:rsid w:val="00DF6237"/>
    <w:rsid w:val="00DF6F39"/>
    <w:rsid w:val="00E00535"/>
    <w:rsid w:val="00E02402"/>
    <w:rsid w:val="00E0497D"/>
    <w:rsid w:val="00E05374"/>
    <w:rsid w:val="00E06D48"/>
    <w:rsid w:val="00E10883"/>
    <w:rsid w:val="00E11A78"/>
    <w:rsid w:val="00E11B10"/>
    <w:rsid w:val="00E12372"/>
    <w:rsid w:val="00E12E54"/>
    <w:rsid w:val="00E16B23"/>
    <w:rsid w:val="00E210DE"/>
    <w:rsid w:val="00E26DDC"/>
    <w:rsid w:val="00E300DC"/>
    <w:rsid w:val="00E302DB"/>
    <w:rsid w:val="00E311F0"/>
    <w:rsid w:val="00E31C55"/>
    <w:rsid w:val="00E32942"/>
    <w:rsid w:val="00E335FF"/>
    <w:rsid w:val="00E336B3"/>
    <w:rsid w:val="00E33DCA"/>
    <w:rsid w:val="00E3498A"/>
    <w:rsid w:val="00E35BA5"/>
    <w:rsid w:val="00E35C0F"/>
    <w:rsid w:val="00E37F77"/>
    <w:rsid w:val="00E408C8"/>
    <w:rsid w:val="00E41A88"/>
    <w:rsid w:val="00E43E4D"/>
    <w:rsid w:val="00E44B2F"/>
    <w:rsid w:val="00E457EA"/>
    <w:rsid w:val="00E5028D"/>
    <w:rsid w:val="00E538D1"/>
    <w:rsid w:val="00E53DAA"/>
    <w:rsid w:val="00E579CE"/>
    <w:rsid w:val="00E64346"/>
    <w:rsid w:val="00E66234"/>
    <w:rsid w:val="00E66A79"/>
    <w:rsid w:val="00E701B6"/>
    <w:rsid w:val="00E7178A"/>
    <w:rsid w:val="00E739F1"/>
    <w:rsid w:val="00E77A48"/>
    <w:rsid w:val="00E85482"/>
    <w:rsid w:val="00E873BF"/>
    <w:rsid w:val="00E916BF"/>
    <w:rsid w:val="00E968D7"/>
    <w:rsid w:val="00E9756D"/>
    <w:rsid w:val="00E975E8"/>
    <w:rsid w:val="00EA24DD"/>
    <w:rsid w:val="00EA691F"/>
    <w:rsid w:val="00EB077D"/>
    <w:rsid w:val="00EB3F11"/>
    <w:rsid w:val="00EB41AA"/>
    <w:rsid w:val="00EB6589"/>
    <w:rsid w:val="00EB6BE8"/>
    <w:rsid w:val="00EB7702"/>
    <w:rsid w:val="00EC1D85"/>
    <w:rsid w:val="00EC3893"/>
    <w:rsid w:val="00EC75B3"/>
    <w:rsid w:val="00ED125D"/>
    <w:rsid w:val="00ED5CA5"/>
    <w:rsid w:val="00ED7421"/>
    <w:rsid w:val="00EE1BA9"/>
    <w:rsid w:val="00EE2F5A"/>
    <w:rsid w:val="00EE486A"/>
    <w:rsid w:val="00EE595E"/>
    <w:rsid w:val="00EE716E"/>
    <w:rsid w:val="00EE7638"/>
    <w:rsid w:val="00EF0A98"/>
    <w:rsid w:val="00EF2224"/>
    <w:rsid w:val="00EF3687"/>
    <w:rsid w:val="00EF70DD"/>
    <w:rsid w:val="00F01D72"/>
    <w:rsid w:val="00F03FD0"/>
    <w:rsid w:val="00F04A57"/>
    <w:rsid w:val="00F056C8"/>
    <w:rsid w:val="00F07E3A"/>
    <w:rsid w:val="00F11B5E"/>
    <w:rsid w:val="00F131DD"/>
    <w:rsid w:val="00F1467D"/>
    <w:rsid w:val="00F15C6F"/>
    <w:rsid w:val="00F16982"/>
    <w:rsid w:val="00F21202"/>
    <w:rsid w:val="00F23DED"/>
    <w:rsid w:val="00F27AAC"/>
    <w:rsid w:val="00F37524"/>
    <w:rsid w:val="00F401FC"/>
    <w:rsid w:val="00F4086C"/>
    <w:rsid w:val="00F40FC5"/>
    <w:rsid w:val="00F426E1"/>
    <w:rsid w:val="00F42F76"/>
    <w:rsid w:val="00F430AF"/>
    <w:rsid w:val="00F45F13"/>
    <w:rsid w:val="00F46162"/>
    <w:rsid w:val="00F469AB"/>
    <w:rsid w:val="00F501C9"/>
    <w:rsid w:val="00F512E2"/>
    <w:rsid w:val="00F516A3"/>
    <w:rsid w:val="00F55B68"/>
    <w:rsid w:val="00F5613F"/>
    <w:rsid w:val="00F60D02"/>
    <w:rsid w:val="00F659D7"/>
    <w:rsid w:val="00F67115"/>
    <w:rsid w:val="00F71CF6"/>
    <w:rsid w:val="00F74B47"/>
    <w:rsid w:val="00F8112F"/>
    <w:rsid w:val="00F833F0"/>
    <w:rsid w:val="00F843BA"/>
    <w:rsid w:val="00F85F66"/>
    <w:rsid w:val="00F866DC"/>
    <w:rsid w:val="00F9209C"/>
    <w:rsid w:val="00F92413"/>
    <w:rsid w:val="00FA0D1B"/>
    <w:rsid w:val="00FA2C46"/>
    <w:rsid w:val="00FA2C5F"/>
    <w:rsid w:val="00FC1029"/>
    <w:rsid w:val="00FC1DAC"/>
    <w:rsid w:val="00FC233C"/>
    <w:rsid w:val="00FC3036"/>
    <w:rsid w:val="00FC3CA8"/>
    <w:rsid w:val="00FC4193"/>
    <w:rsid w:val="00FC613C"/>
    <w:rsid w:val="00FD2D8A"/>
    <w:rsid w:val="00FD3933"/>
    <w:rsid w:val="00FD3E29"/>
    <w:rsid w:val="00FD6230"/>
    <w:rsid w:val="00FE438F"/>
    <w:rsid w:val="00FE49EE"/>
    <w:rsid w:val="00FE4D03"/>
    <w:rsid w:val="00FF2575"/>
    <w:rsid w:val="00FF2A8E"/>
    <w:rsid w:val="00FF3AAB"/>
    <w:rsid w:val="00FF614D"/>
    <w:rsid w:val="00FF6603"/>
    <w:rsid w:val="3D41E612"/>
    <w:rsid w:val="567F6E64"/>
    <w:rsid w:val="67F59147"/>
    <w:rsid w:val="71E9E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029B"/>
  <w15:docId w15:val="{CB410B71-B99D-488E-A39B-CED55BB8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table" w:styleId="TableGrid">
    <w:name w:val="Table Grid"/>
    <w:basedOn w:val="TableNormal"/>
    <w:uiPriority w:val="59"/>
    <w:rsid w:val="00FF6603"/>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F6603"/>
    <w:rPr>
      <w:sz w:val="16"/>
      <w:szCs w:val="16"/>
    </w:rPr>
  </w:style>
  <w:style w:type="paragraph" w:styleId="CommentText">
    <w:name w:val="annotation text"/>
    <w:basedOn w:val="Normal"/>
    <w:link w:val="CommentTextChar"/>
    <w:uiPriority w:val="99"/>
    <w:unhideWhenUsed/>
    <w:rsid w:val="00FF6603"/>
    <w:pPr>
      <w:widowControl/>
      <w:autoSpaceDE/>
      <w:autoSpaceDN/>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FF6603"/>
    <w:rPr>
      <w:rFonts w:ascii="Calibri" w:eastAsia="Calibri" w:hAnsi="Calibri" w:cs="Times New Roman"/>
      <w:sz w:val="20"/>
      <w:szCs w:val="20"/>
    </w:rPr>
  </w:style>
  <w:style w:type="paragraph" w:styleId="Revision">
    <w:name w:val="Revision"/>
    <w:hidden/>
    <w:uiPriority w:val="99"/>
    <w:semiHidden/>
    <w:rsid w:val="0063743D"/>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A2550"/>
    <w:pPr>
      <w:widowControl w:val="0"/>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8A255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A4620"/>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A4620"/>
    <w:rPr>
      <w:sz w:val="20"/>
      <w:szCs w:val="20"/>
    </w:rPr>
  </w:style>
  <w:style w:type="character" w:styleId="FootnoteReference">
    <w:name w:val="footnote reference"/>
    <w:basedOn w:val="DefaultParagraphFont"/>
    <w:uiPriority w:val="99"/>
    <w:semiHidden/>
    <w:unhideWhenUsed/>
    <w:rsid w:val="00DA4620"/>
    <w:rPr>
      <w:vertAlign w:val="superscript"/>
    </w:rPr>
  </w:style>
  <w:style w:type="character" w:styleId="Hyperlink">
    <w:name w:val="Hyperlink"/>
    <w:basedOn w:val="DefaultParagraphFont"/>
    <w:uiPriority w:val="99"/>
    <w:unhideWhenUsed/>
    <w:rsid w:val="00DA4620"/>
    <w:rPr>
      <w:color w:val="0000FF" w:themeColor="hyperlink"/>
      <w:u w:val="single"/>
    </w:rPr>
  </w:style>
  <w:style w:type="character" w:styleId="UnresolvedMention">
    <w:name w:val="Unresolved Mention"/>
    <w:basedOn w:val="DefaultParagraphFont"/>
    <w:uiPriority w:val="99"/>
    <w:semiHidden/>
    <w:unhideWhenUsed/>
    <w:rsid w:val="00DA4620"/>
    <w:rPr>
      <w:color w:val="605E5C"/>
      <w:shd w:val="clear" w:color="auto" w:fill="E1DFDD"/>
    </w:rPr>
  </w:style>
  <w:style w:type="character" w:styleId="FollowedHyperlink">
    <w:name w:val="FollowedHyperlink"/>
    <w:basedOn w:val="DefaultParagraphFont"/>
    <w:uiPriority w:val="99"/>
    <w:semiHidden/>
    <w:unhideWhenUsed/>
    <w:rsid w:val="009A7BC6"/>
    <w:rPr>
      <w:color w:val="800080" w:themeColor="followedHyperlink"/>
      <w:u w:val="single"/>
    </w:rPr>
  </w:style>
  <w:style w:type="paragraph" w:styleId="Header">
    <w:name w:val="header"/>
    <w:basedOn w:val="Normal"/>
    <w:link w:val="HeaderChar"/>
    <w:uiPriority w:val="99"/>
    <w:unhideWhenUsed/>
    <w:rsid w:val="008B5406"/>
    <w:pPr>
      <w:tabs>
        <w:tab w:val="center" w:pos="4680"/>
        <w:tab w:val="right" w:pos="9360"/>
      </w:tabs>
    </w:pPr>
  </w:style>
  <w:style w:type="character" w:customStyle="1" w:styleId="HeaderChar">
    <w:name w:val="Header Char"/>
    <w:basedOn w:val="DefaultParagraphFont"/>
    <w:link w:val="Header"/>
    <w:uiPriority w:val="99"/>
    <w:rsid w:val="008B5406"/>
    <w:rPr>
      <w:rFonts w:ascii="Times New Roman" w:eastAsia="Times New Roman" w:hAnsi="Times New Roman" w:cs="Times New Roman"/>
    </w:rPr>
  </w:style>
  <w:style w:type="paragraph" w:styleId="Footer">
    <w:name w:val="footer"/>
    <w:basedOn w:val="Normal"/>
    <w:link w:val="FooterChar"/>
    <w:uiPriority w:val="99"/>
    <w:unhideWhenUsed/>
    <w:rsid w:val="008B5406"/>
    <w:pPr>
      <w:tabs>
        <w:tab w:val="center" w:pos="4680"/>
        <w:tab w:val="right" w:pos="9360"/>
      </w:tabs>
    </w:pPr>
  </w:style>
  <w:style w:type="character" w:customStyle="1" w:styleId="FooterChar">
    <w:name w:val="Footer Char"/>
    <w:basedOn w:val="DefaultParagraphFont"/>
    <w:link w:val="Footer"/>
    <w:uiPriority w:val="99"/>
    <w:rsid w:val="008B5406"/>
    <w:rPr>
      <w:rFonts w:ascii="Times New Roman" w:eastAsia="Times New Roman" w:hAnsi="Times New Roman" w:cs="Times New Roman"/>
    </w:rPr>
  </w:style>
  <w:style w:type="paragraph" w:styleId="NormalWeb">
    <w:name w:val="Normal (Web)"/>
    <w:basedOn w:val="Normal"/>
    <w:uiPriority w:val="99"/>
    <w:semiHidden/>
    <w:unhideWhenUsed/>
    <w:rsid w:val="00DE7EBA"/>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E7EBA"/>
    <w:rPr>
      <w:b/>
      <w:bCs/>
    </w:rPr>
  </w:style>
  <w:style w:type="character" w:customStyle="1" w:styleId="fontstyle01">
    <w:name w:val="fontstyle01"/>
    <w:basedOn w:val="DefaultParagraphFont"/>
    <w:rsid w:val="00DE7EBA"/>
    <w:rPr>
      <w:rFonts w:ascii="TimesNewRomanPSMT" w:hAnsi="TimesNewRomanPSMT" w:hint="default"/>
      <w:b w:val="0"/>
      <w:bCs w:val="0"/>
      <w:i w:val="0"/>
      <w:iCs w:val="0"/>
      <w:color w:val="000000"/>
      <w:sz w:val="22"/>
      <w:szCs w:val="22"/>
    </w:rPr>
  </w:style>
  <w:style w:type="character" w:customStyle="1" w:styleId="whitespace-normal">
    <w:name w:val="whitespace-normal"/>
    <w:basedOn w:val="DefaultParagraphFont"/>
    <w:rsid w:val="00DE7EBA"/>
  </w:style>
  <w:style w:type="character" w:styleId="Emphasis">
    <w:name w:val="Emphasis"/>
    <w:basedOn w:val="DefaultParagraphFont"/>
    <w:uiPriority w:val="20"/>
    <w:qFormat/>
    <w:rsid w:val="00210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5988">
      <w:bodyDiv w:val="1"/>
      <w:marLeft w:val="0"/>
      <w:marRight w:val="0"/>
      <w:marTop w:val="0"/>
      <w:marBottom w:val="0"/>
      <w:divBdr>
        <w:top w:val="none" w:sz="0" w:space="0" w:color="auto"/>
        <w:left w:val="none" w:sz="0" w:space="0" w:color="auto"/>
        <w:bottom w:val="none" w:sz="0" w:space="0" w:color="auto"/>
        <w:right w:val="none" w:sz="0" w:space="0" w:color="auto"/>
      </w:divBdr>
    </w:div>
    <w:div w:id="246768330">
      <w:bodyDiv w:val="1"/>
      <w:marLeft w:val="0"/>
      <w:marRight w:val="0"/>
      <w:marTop w:val="0"/>
      <w:marBottom w:val="0"/>
      <w:divBdr>
        <w:top w:val="none" w:sz="0" w:space="0" w:color="auto"/>
        <w:left w:val="none" w:sz="0" w:space="0" w:color="auto"/>
        <w:bottom w:val="none" w:sz="0" w:space="0" w:color="auto"/>
        <w:right w:val="none" w:sz="0" w:space="0" w:color="auto"/>
      </w:divBdr>
    </w:div>
    <w:div w:id="276525718">
      <w:bodyDiv w:val="1"/>
      <w:marLeft w:val="0"/>
      <w:marRight w:val="0"/>
      <w:marTop w:val="0"/>
      <w:marBottom w:val="0"/>
      <w:divBdr>
        <w:top w:val="none" w:sz="0" w:space="0" w:color="auto"/>
        <w:left w:val="none" w:sz="0" w:space="0" w:color="auto"/>
        <w:bottom w:val="none" w:sz="0" w:space="0" w:color="auto"/>
        <w:right w:val="none" w:sz="0" w:space="0" w:color="auto"/>
      </w:divBdr>
    </w:div>
    <w:div w:id="710149608">
      <w:bodyDiv w:val="1"/>
      <w:marLeft w:val="0"/>
      <w:marRight w:val="0"/>
      <w:marTop w:val="0"/>
      <w:marBottom w:val="0"/>
      <w:divBdr>
        <w:top w:val="none" w:sz="0" w:space="0" w:color="auto"/>
        <w:left w:val="none" w:sz="0" w:space="0" w:color="auto"/>
        <w:bottom w:val="none" w:sz="0" w:space="0" w:color="auto"/>
        <w:right w:val="none" w:sz="0" w:space="0" w:color="auto"/>
      </w:divBdr>
    </w:div>
    <w:div w:id="736246801">
      <w:bodyDiv w:val="1"/>
      <w:marLeft w:val="0"/>
      <w:marRight w:val="0"/>
      <w:marTop w:val="0"/>
      <w:marBottom w:val="0"/>
      <w:divBdr>
        <w:top w:val="none" w:sz="0" w:space="0" w:color="auto"/>
        <w:left w:val="none" w:sz="0" w:space="0" w:color="auto"/>
        <w:bottom w:val="none" w:sz="0" w:space="0" w:color="auto"/>
        <w:right w:val="none" w:sz="0" w:space="0" w:color="auto"/>
      </w:divBdr>
    </w:div>
    <w:div w:id="1089693011">
      <w:bodyDiv w:val="1"/>
      <w:marLeft w:val="0"/>
      <w:marRight w:val="0"/>
      <w:marTop w:val="0"/>
      <w:marBottom w:val="0"/>
      <w:divBdr>
        <w:top w:val="none" w:sz="0" w:space="0" w:color="auto"/>
        <w:left w:val="none" w:sz="0" w:space="0" w:color="auto"/>
        <w:bottom w:val="none" w:sz="0" w:space="0" w:color="auto"/>
        <w:right w:val="none" w:sz="0" w:space="0" w:color="auto"/>
      </w:divBdr>
    </w:div>
    <w:div w:id="1093939301">
      <w:bodyDiv w:val="1"/>
      <w:marLeft w:val="0"/>
      <w:marRight w:val="0"/>
      <w:marTop w:val="0"/>
      <w:marBottom w:val="0"/>
      <w:divBdr>
        <w:top w:val="none" w:sz="0" w:space="0" w:color="auto"/>
        <w:left w:val="none" w:sz="0" w:space="0" w:color="auto"/>
        <w:bottom w:val="none" w:sz="0" w:space="0" w:color="auto"/>
        <w:right w:val="none" w:sz="0" w:space="0" w:color="auto"/>
      </w:divBdr>
    </w:div>
    <w:div w:id="1165124308">
      <w:bodyDiv w:val="1"/>
      <w:marLeft w:val="0"/>
      <w:marRight w:val="0"/>
      <w:marTop w:val="0"/>
      <w:marBottom w:val="0"/>
      <w:divBdr>
        <w:top w:val="none" w:sz="0" w:space="0" w:color="auto"/>
        <w:left w:val="none" w:sz="0" w:space="0" w:color="auto"/>
        <w:bottom w:val="none" w:sz="0" w:space="0" w:color="auto"/>
        <w:right w:val="none" w:sz="0" w:space="0" w:color="auto"/>
      </w:divBdr>
    </w:div>
    <w:div w:id="1689672355">
      <w:bodyDiv w:val="1"/>
      <w:marLeft w:val="0"/>
      <w:marRight w:val="0"/>
      <w:marTop w:val="0"/>
      <w:marBottom w:val="0"/>
      <w:divBdr>
        <w:top w:val="none" w:sz="0" w:space="0" w:color="auto"/>
        <w:left w:val="none" w:sz="0" w:space="0" w:color="auto"/>
        <w:bottom w:val="none" w:sz="0" w:space="0" w:color="auto"/>
        <w:right w:val="none" w:sz="0" w:space="0" w:color="auto"/>
      </w:divBdr>
    </w:div>
    <w:div w:id="1752433750">
      <w:bodyDiv w:val="1"/>
      <w:marLeft w:val="0"/>
      <w:marRight w:val="0"/>
      <w:marTop w:val="0"/>
      <w:marBottom w:val="0"/>
      <w:divBdr>
        <w:top w:val="none" w:sz="0" w:space="0" w:color="auto"/>
        <w:left w:val="none" w:sz="0" w:space="0" w:color="auto"/>
        <w:bottom w:val="none" w:sz="0" w:space="0" w:color="auto"/>
        <w:right w:val="none" w:sz="0" w:space="0" w:color="auto"/>
      </w:divBdr>
    </w:div>
    <w:div w:id="1809938154">
      <w:bodyDiv w:val="1"/>
      <w:marLeft w:val="0"/>
      <w:marRight w:val="0"/>
      <w:marTop w:val="0"/>
      <w:marBottom w:val="0"/>
      <w:divBdr>
        <w:top w:val="none" w:sz="0" w:space="0" w:color="auto"/>
        <w:left w:val="none" w:sz="0" w:space="0" w:color="auto"/>
        <w:bottom w:val="none" w:sz="0" w:space="0" w:color="auto"/>
        <w:right w:val="none" w:sz="0" w:space="0" w:color="auto"/>
      </w:divBdr>
    </w:div>
    <w:div w:id="1909917644">
      <w:bodyDiv w:val="1"/>
      <w:marLeft w:val="0"/>
      <w:marRight w:val="0"/>
      <w:marTop w:val="0"/>
      <w:marBottom w:val="0"/>
      <w:divBdr>
        <w:top w:val="none" w:sz="0" w:space="0" w:color="auto"/>
        <w:left w:val="none" w:sz="0" w:space="0" w:color="auto"/>
        <w:bottom w:val="none" w:sz="0" w:space="0" w:color="auto"/>
        <w:right w:val="none" w:sz="0" w:space="0" w:color="auto"/>
      </w:divBdr>
    </w:div>
    <w:div w:id="1969388595">
      <w:bodyDiv w:val="1"/>
      <w:marLeft w:val="0"/>
      <w:marRight w:val="0"/>
      <w:marTop w:val="0"/>
      <w:marBottom w:val="0"/>
      <w:divBdr>
        <w:top w:val="none" w:sz="0" w:space="0" w:color="auto"/>
        <w:left w:val="none" w:sz="0" w:space="0" w:color="auto"/>
        <w:bottom w:val="none" w:sz="0" w:space="0" w:color="auto"/>
        <w:right w:val="none" w:sz="0" w:space="0" w:color="auto"/>
      </w:divBdr>
    </w:div>
    <w:div w:id="210272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isial@actu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3904-1AE0-4F57-BFBA-DAFC1C50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7349</Characters>
  <Application>Microsoft Office Word</Application>
  <DocSecurity>0</DocSecurity>
  <Lines>170</Lines>
  <Paragraphs>107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Barry-Moilanen</dc:creator>
  <cp:keywords/>
  <dc:description/>
  <cp:lastModifiedBy>Katie Dzurec</cp:lastModifiedBy>
  <cp:revision>14</cp:revision>
  <dcterms:created xsi:type="dcterms:W3CDTF">2026-05-28T15:49:00Z</dcterms:created>
  <dcterms:modified xsi:type="dcterms:W3CDTF">2026-06-08T20:42:00Z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0x0101003407BDF7C3526646BEE9A220AC957184</vt:lpwstr>
  </property>
  <property fmtid="{D5CDD505-2E9C-101B-9397-08002B2CF9AE}" pid="3" name="Created">
    <vt:filetime>2024-12-04T00:00:00Z</vt:filetime>
  </property>
  <property fmtid="{D5CDD505-2E9C-101B-9397-08002B2CF9AE}" pid="4" name="Creator">
    <vt:lpwstr>Acrobat PDFMaker 15 for Word</vt:lpwstr>
  </property>
  <property fmtid="{D5CDD505-2E9C-101B-9397-08002B2CF9AE}" pid="5" name="GrammarlyDocumentId">
    <vt:lpwstr>d78c032f77ffc86ce8fe02854f1cf1e0d4036a07f2c08a5126b945be3ae35745</vt:lpwstr>
  </property>
  <property fmtid="{D5CDD505-2E9C-101B-9397-08002B2CF9AE}" pid="6" name="HumanaClassification">
    <vt:lpwstr>I</vt:lpwstr>
  </property>
  <property fmtid="{D5CDD505-2E9C-101B-9397-08002B2CF9AE}" pid="7" name="LastSaved">
    <vt:filetime>2024-12-30T00:00:00Z</vt:filetime>
  </property>
  <property fmtid="{D5CDD505-2E9C-101B-9397-08002B2CF9AE}" pid="8" name="MSIP_Label_320f21ee-9bdc-4991-8abe-58f53448e302_ActionId">
    <vt:lpwstr>88e0b1c4-23d7-436f-bb29-0f413d3e0459</vt:lpwstr>
  </property>
  <property fmtid="{D5CDD505-2E9C-101B-9397-08002B2CF9AE}" pid="9" name="MSIP_Label_320f21ee-9bdc-4991-8abe-58f53448e302_ContentBits">
    <vt:lpwstr>0</vt:lpwstr>
  </property>
  <property fmtid="{D5CDD505-2E9C-101B-9397-08002B2CF9AE}" pid="10" name="MSIP_Label_320f21ee-9bdc-4991-8abe-58f53448e302_Enabled">
    <vt:lpwstr>true</vt:lpwstr>
  </property>
  <property fmtid="{D5CDD505-2E9C-101B-9397-08002B2CF9AE}" pid="11" name="MSIP_Label_320f21ee-9bdc-4991-8abe-58f53448e302_Method">
    <vt:lpwstr>Privileged</vt:lpwstr>
  </property>
  <property fmtid="{D5CDD505-2E9C-101B-9397-08002B2CF9AE}" pid="12" name="MSIP_Label_320f21ee-9bdc-4991-8abe-58f53448e302_Name">
    <vt:lpwstr>External Label</vt:lpwstr>
  </property>
  <property fmtid="{D5CDD505-2E9C-101B-9397-08002B2CF9AE}" pid="13" name="MSIP_Label_320f21ee-9bdc-4991-8abe-58f53448e302_SetDate">
    <vt:lpwstr>2023-01-17T18:09:11Z</vt:lpwstr>
  </property>
  <property fmtid="{D5CDD505-2E9C-101B-9397-08002B2CF9AE}" pid="14" name="MSIP_Label_320f21ee-9bdc-4991-8abe-58f53448e302_SiteId">
    <vt:lpwstr>db05faca-c82a-4b9d-b9c5-0f64b6755421</vt:lpwstr>
  </property>
  <property fmtid="{D5CDD505-2E9C-101B-9397-08002B2CF9AE}" pid="15" name="MSIP_Label_5a776955-85f6-4fec-9553-96dd3e0373c4_ActionId">
    <vt:lpwstr>ad01f64b-8d7f-4c04-96b4-463ed7aedd65</vt:lpwstr>
  </property>
  <property fmtid="{D5CDD505-2E9C-101B-9397-08002B2CF9AE}" pid="16" name="MSIP_Label_5a776955-85f6-4fec-9553-96dd3e0373c4_ContentBits">
    <vt:lpwstr>0</vt:lpwstr>
  </property>
  <property fmtid="{D5CDD505-2E9C-101B-9397-08002B2CF9AE}" pid="17" name="MSIP_Label_5a776955-85f6-4fec-9553-96dd3e0373c4_Enabled">
    <vt:lpwstr>true</vt:lpwstr>
  </property>
  <property fmtid="{D5CDD505-2E9C-101B-9397-08002B2CF9AE}" pid="18" name="MSIP_Label_5a776955-85f6-4fec-9553-96dd3e0373c4_Method">
    <vt:lpwstr>Standard</vt:lpwstr>
  </property>
  <property fmtid="{D5CDD505-2E9C-101B-9397-08002B2CF9AE}" pid="19" name="MSIP_Label_5a776955-85f6-4fec-9553-96dd3e0373c4_Name">
    <vt:lpwstr>Confidential</vt:lpwstr>
  </property>
  <property fmtid="{D5CDD505-2E9C-101B-9397-08002B2CF9AE}" pid="20" name="MSIP_Label_5a776955-85f6-4fec-9553-96dd3e0373c4_SetDate">
    <vt:lpwstr>2022-01-22T17:39:36Z</vt:lpwstr>
  </property>
  <property fmtid="{D5CDD505-2E9C-101B-9397-08002B2CF9AE}" pid="21" name="MSIP_Label_5a776955-85f6-4fec-9553-96dd3e0373c4_SiteId">
    <vt:lpwstr>f45ccc07-e57e-4d15-bf6f-f6cbccd2d395</vt:lpwstr>
  </property>
  <property fmtid="{D5CDD505-2E9C-101B-9397-08002B2CF9AE}" pid="22" name="MSIP_Label_6a772476-9fad-428e-bd1c-a3a17c3bbc75_ActionId">
    <vt:lpwstr>eece372a-a8d2-4bfb-930b-bc618b399669</vt:lpwstr>
  </property>
  <property fmtid="{D5CDD505-2E9C-101B-9397-08002B2CF9AE}" pid="23" name="MSIP_Label_6a772476-9fad-428e-bd1c-a3a17c3bbc75_ContentBits">
    <vt:lpwstr>0</vt:lpwstr>
  </property>
  <property fmtid="{D5CDD505-2E9C-101B-9397-08002B2CF9AE}" pid="24" name="MSIP_Label_6a772476-9fad-428e-bd1c-a3a17c3bbc75_Enabled">
    <vt:lpwstr>true</vt:lpwstr>
  </property>
  <property fmtid="{D5CDD505-2E9C-101B-9397-08002B2CF9AE}" pid="25" name="MSIP_Label_6a772476-9fad-428e-bd1c-a3a17c3bbc75_Method">
    <vt:lpwstr>Standard</vt:lpwstr>
  </property>
  <property fmtid="{D5CDD505-2E9C-101B-9397-08002B2CF9AE}" pid="26" name="MSIP_Label_6a772476-9fad-428e-bd1c-a3a17c3bbc75_Name">
    <vt:lpwstr>Confidential Information</vt:lpwstr>
  </property>
  <property fmtid="{D5CDD505-2E9C-101B-9397-08002B2CF9AE}" pid="27" name="MSIP_Label_6a772476-9fad-428e-bd1c-a3a17c3bbc75_SetDate">
    <vt:lpwstr>2022-01-21T14:23:29Z</vt:lpwstr>
  </property>
  <property fmtid="{D5CDD505-2E9C-101B-9397-08002B2CF9AE}" pid="28" name="MSIP_Label_6a772476-9fad-428e-bd1c-a3a17c3bbc75_SiteId">
    <vt:lpwstr>bb087376-1284-4173-9385-a6766cdfef8c</vt:lpwstr>
  </property>
  <property fmtid="{D5CDD505-2E9C-101B-9397-08002B2CF9AE}" pid="29" name="Producer">
    <vt:lpwstr>Adobe PDF Library 15.0</vt:lpwstr>
  </property>
  <property fmtid="{D5CDD505-2E9C-101B-9397-08002B2CF9AE}" pid="30" name="ScannedBy">
    <vt:lpwstr>TCS-ContentScanned</vt:lpwstr>
  </property>
  <property fmtid="{D5CDD505-2E9C-101B-9397-08002B2CF9AE}" pid="31" name="SourceModified">
    <vt:lpwstr>D:20241204195353</vt:lpwstr>
  </property>
  <property fmtid="{D5CDD505-2E9C-101B-9397-08002B2CF9AE}" pid="32" name="TitusGUID">
    <vt:lpwstr>60c475be-e05a-492c-a90e-004bcb47b619</vt:lpwstr>
  </property>
  <property fmtid="{D5CDD505-2E9C-101B-9397-08002B2CF9AE}" pid="33" name="MSIP_Label_8f0b5d98-aa4b-42ad-b5be-1e75bbcbb7d7_Enabled">
    <vt:lpwstr>true</vt:lpwstr>
  </property>
  <property fmtid="{D5CDD505-2E9C-101B-9397-08002B2CF9AE}" pid="34" name="MSIP_Label_8f0b5d98-aa4b-42ad-b5be-1e75bbcbb7d7_SetDate">
    <vt:lpwstr>2024-12-30T20:29:33Z</vt:lpwstr>
  </property>
  <property fmtid="{D5CDD505-2E9C-101B-9397-08002B2CF9AE}" pid="35" name="MSIP_Label_8f0b5d98-aa4b-42ad-b5be-1e75bbcbb7d7_Method">
    <vt:lpwstr>Standard</vt:lpwstr>
  </property>
  <property fmtid="{D5CDD505-2E9C-101B-9397-08002B2CF9AE}" pid="36" name="MSIP_Label_8f0b5d98-aa4b-42ad-b5be-1e75bbcbb7d7_Name">
    <vt:lpwstr>Internal-pilot</vt:lpwstr>
  </property>
  <property fmtid="{D5CDD505-2E9C-101B-9397-08002B2CF9AE}" pid="37" name="MSIP_Label_8f0b5d98-aa4b-42ad-b5be-1e75bbcbb7d7_SiteId">
    <vt:lpwstr>a651e8f0-93d2-41c2-88b6-e8c5a1ad2375</vt:lpwstr>
  </property>
  <property fmtid="{D5CDD505-2E9C-101B-9397-08002B2CF9AE}" pid="38" name="MSIP_Label_8f0b5d98-aa4b-42ad-b5be-1e75bbcbb7d7_ActionId">
    <vt:lpwstr>b2d98130-eaa3-47ca-befa-8997ffe14fb8</vt:lpwstr>
  </property>
  <property fmtid="{D5CDD505-2E9C-101B-9397-08002B2CF9AE}" pid="39" name="MSIP_Label_8f0b5d98-aa4b-42ad-b5be-1e75bbcbb7d7_ContentBits">
    <vt:lpwstr>0</vt:lpwstr>
  </property>
  <property fmtid="{D5CDD505-2E9C-101B-9397-08002B2CF9AE}" pid="40" name="MSIP_Label_d347b247-e90e-43a3-9d7b-004f14ae6873_Enabled">
    <vt:lpwstr>true</vt:lpwstr>
  </property>
  <property fmtid="{D5CDD505-2E9C-101B-9397-08002B2CF9AE}" pid="41" name="MSIP_Label_d347b247-e90e-43a3-9d7b-004f14ae6873_SetDate">
    <vt:lpwstr>2026-04-27T14:58:09Z</vt:lpwstr>
  </property>
  <property fmtid="{D5CDD505-2E9C-101B-9397-08002B2CF9AE}" pid="42" name="MSIP_Label_d347b247-e90e-43a3-9d7b-004f14ae6873_Method">
    <vt:lpwstr>Standard</vt:lpwstr>
  </property>
  <property fmtid="{D5CDD505-2E9C-101B-9397-08002B2CF9AE}" pid="43" name="MSIP_Label_d347b247-e90e-43a3-9d7b-004f14ae6873_Name">
    <vt:lpwstr>d347b247-e90e-43a3-9d7b-004f14ae6873</vt:lpwstr>
  </property>
  <property fmtid="{D5CDD505-2E9C-101B-9397-08002B2CF9AE}" pid="44" name="MSIP_Label_d347b247-e90e-43a3-9d7b-004f14ae6873_SiteId">
    <vt:lpwstr>76e3921f-489b-4b7e-9547-9ea297add9b5</vt:lpwstr>
  </property>
  <property fmtid="{D5CDD505-2E9C-101B-9397-08002B2CF9AE}" pid="45" name="MSIP_Label_d347b247-e90e-43a3-9d7b-004f14ae6873_ActionId">
    <vt:lpwstr>b8a42e93-1c2a-4159-a0c1-4a987b047181</vt:lpwstr>
  </property>
  <property fmtid="{D5CDD505-2E9C-101B-9397-08002B2CF9AE}" pid="46" name="MSIP_Label_d347b247-e90e-43a3-9d7b-004f14ae6873_ContentBits">
    <vt:lpwstr>0</vt:lpwstr>
  </property>
  <property fmtid="{D5CDD505-2E9C-101B-9397-08002B2CF9AE}" pid="47" name="MSIP_Label_d347b247-e90e-43a3-9d7b-004f14ae6873_Tag">
    <vt:lpwstr>10, 3, 0, 1</vt:lpwstr>
  </property>
</Properties>
</file>